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1260"/>
        </w:tabs>
        <w:kinsoku/>
        <w:wordWrap/>
        <w:overflowPunct/>
        <w:topLinePunct w:val="0"/>
        <w:autoSpaceDE/>
        <w:autoSpaceDN/>
        <w:bidi w:val="0"/>
        <w:adjustRightInd/>
        <w:snapToGrid/>
        <w:spacing w:after="93" w:afterLines="30" w:line="560" w:lineRule="exact"/>
        <w:ind w:firstLine="0" w:firstLineChars="0"/>
        <w:jc w:val="left"/>
        <w:textAlignment w:val="auto"/>
        <w:rPr>
          <w:rFonts w:hint="default" w:ascii="Times New Roman" w:hAnsi="Times New Roman" w:eastAsia="黑体" w:cs="Times New Roman"/>
          <w:b/>
          <w:bCs/>
          <w:spacing w:val="8"/>
          <w:sz w:val="28"/>
          <w:szCs w:val="28"/>
          <w:lang w:val="en-US" w:eastAsia="zh-CN"/>
        </w:rPr>
      </w:pPr>
    </w:p>
    <w:p>
      <w:pPr>
        <w:pageBreakBefore w:val="0"/>
        <w:widowControl w:val="0"/>
        <w:tabs>
          <w:tab w:val="left" w:pos="1260"/>
        </w:tabs>
        <w:kinsoku/>
        <w:wordWrap/>
        <w:overflowPunct/>
        <w:topLinePunct w:val="0"/>
        <w:autoSpaceDE/>
        <w:autoSpaceDN/>
        <w:bidi w:val="0"/>
        <w:adjustRightInd/>
        <w:snapToGrid/>
        <w:spacing w:after="93" w:afterLines="30" w:line="560" w:lineRule="exact"/>
        <w:ind w:firstLine="0" w:firstLineChars="0"/>
        <w:jc w:val="center"/>
        <w:textAlignment w:val="auto"/>
        <w:rPr>
          <w:rFonts w:hint="default" w:ascii="Times New Roman" w:hAnsi="Times New Roman" w:eastAsia="黑体" w:cs="Times New Roman"/>
          <w:b/>
          <w:bCs/>
          <w:spacing w:val="8"/>
          <w:sz w:val="52"/>
          <w:szCs w:val="52"/>
        </w:rPr>
      </w:pPr>
    </w:p>
    <w:p>
      <w:pPr>
        <w:pageBreakBefore w:val="0"/>
        <w:widowControl w:val="0"/>
        <w:tabs>
          <w:tab w:val="left" w:pos="1260"/>
        </w:tabs>
        <w:kinsoku/>
        <w:wordWrap/>
        <w:overflowPunct/>
        <w:topLinePunct w:val="0"/>
        <w:autoSpaceDE/>
        <w:autoSpaceDN/>
        <w:bidi w:val="0"/>
        <w:adjustRightInd/>
        <w:snapToGrid/>
        <w:spacing w:after="93" w:afterLines="30" w:line="560" w:lineRule="exact"/>
        <w:ind w:firstLine="0" w:firstLineChars="0"/>
        <w:jc w:val="center"/>
        <w:textAlignment w:val="auto"/>
        <w:rPr>
          <w:rFonts w:hint="default" w:ascii="Times New Roman" w:hAnsi="Times New Roman" w:eastAsia="黑体" w:cs="Times New Roman"/>
          <w:b/>
          <w:bCs/>
          <w:spacing w:val="8"/>
          <w:sz w:val="52"/>
          <w:szCs w:val="52"/>
        </w:rPr>
      </w:pPr>
    </w:p>
    <w:p>
      <w:pPr>
        <w:pageBreakBefore w:val="0"/>
        <w:widowControl w:val="0"/>
        <w:tabs>
          <w:tab w:val="left" w:pos="12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b/>
          <w:bCs/>
          <w:spacing w:val="8"/>
          <w:sz w:val="52"/>
          <w:szCs w:val="52"/>
        </w:rPr>
      </w:pPr>
      <w:r>
        <w:rPr>
          <w:rFonts w:hint="eastAsia" w:ascii="Times New Roman" w:hAnsi="Times New Roman" w:eastAsia="黑体" w:cs="Times New Roman"/>
          <w:b/>
          <w:bCs/>
          <w:spacing w:val="8"/>
          <w:sz w:val="52"/>
          <w:szCs w:val="52"/>
          <w:lang w:eastAsia="zh-CN"/>
        </w:rPr>
        <w:t>神池县</w:t>
      </w:r>
      <w:r>
        <w:rPr>
          <w:rFonts w:hint="default" w:ascii="Times New Roman" w:hAnsi="Times New Roman" w:eastAsia="黑体" w:cs="Times New Roman"/>
          <w:b/>
          <w:bCs/>
          <w:spacing w:val="8"/>
          <w:sz w:val="52"/>
          <w:szCs w:val="52"/>
        </w:rPr>
        <w:t>城市区域声环境功能区</w:t>
      </w:r>
    </w:p>
    <w:p>
      <w:pPr>
        <w:pStyle w:val="9"/>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eastAsia="黑体"/>
          <w:sz w:val="52"/>
          <w:szCs w:val="52"/>
          <w:lang w:eastAsia="zh-CN"/>
        </w:rPr>
      </w:pPr>
      <w:r>
        <w:rPr>
          <w:rFonts w:hint="default" w:ascii="Times New Roman" w:hAnsi="Times New Roman" w:eastAsia="黑体" w:cs="Times New Roman"/>
          <w:b/>
          <w:bCs/>
          <w:spacing w:val="8"/>
          <w:sz w:val="52"/>
          <w:szCs w:val="52"/>
        </w:rPr>
        <w:t>划分</w:t>
      </w:r>
      <w:r>
        <w:rPr>
          <w:rFonts w:hint="eastAsia" w:cs="Times New Roman"/>
          <w:b/>
          <w:bCs/>
          <w:spacing w:val="8"/>
          <w:sz w:val="52"/>
          <w:szCs w:val="52"/>
          <w:lang w:eastAsia="zh-CN"/>
        </w:rPr>
        <w:t>与调整技术报告</w:t>
      </w:r>
    </w:p>
    <w:p>
      <w:pPr>
        <w:pStyle w:val="9"/>
        <w:keepNext/>
        <w:keepLines/>
        <w:pageBreakBefore w:val="0"/>
        <w:widowControl w:val="0"/>
        <w:kinsoku/>
        <w:wordWrap/>
        <w:overflowPunct/>
        <w:topLinePunct w:val="0"/>
        <w:autoSpaceDE/>
        <w:autoSpaceDN/>
        <w:bidi w:val="0"/>
        <w:adjustRightInd/>
        <w:snapToGrid/>
        <w:spacing w:before="0" w:after="0" w:line="240" w:lineRule="auto"/>
        <w:jc w:val="center"/>
        <w:textAlignment w:val="auto"/>
      </w:pPr>
    </w:p>
    <w:p>
      <w:pPr>
        <w:pStyle w:val="9"/>
        <w:spacing w:before="312" w:beforeLines="100" w:after="156" w:line="360" w:lineRule="auto"/>
        <w:jc w:val="center"/>
      </w:pPr>
    </w:p>
    <w:p>
      <w:pPr>
        <w:pStyle w:val="9"/>
        <w:spacing w:before="312" w:beforeLines="100" w:after="156" w:line="360" w:lineRule="auto"/>
        <w:jc w:val="center"/>
      </w:pPr>
    </w:p>
    <w:p>
      <w:pPr>
        <w:pStyle w:val="9"/>
        <w:spacing w:before="312" w:beforeLines="100" w:after="156" w:line="360" w:lineRule="auto"/>
        <w:jc w:val="center"/>
      </w:pPr>
      <w:bookmarkStart w:id="2" w:name="_GoBack"/>
      <w:bookmarkEnd w:id="2"/>
    </w:p>
    <w:p>
      <w:pPr>
        <w:pStyle w:val="9"/>
        <w:spacing w:before="156" w:beforeLines="50" w:after="156" w:line="360" w:lineRule="auto"/>
        <w:jc w:val="center"/>
        <w:rPr>
          <w:sz w:val="28"/>
          <w:szCs w:val="28"/>
        </w:rPr>
      </w:pPr>
    </w:p>
    <w:p>
      <w:pPr>
        <w:pStyle w:val="9"/>
        <w:spacing w:before="156" w:beforeLines="50" w:after="156" w:line="360" w:lineRule="auto"/>
        <w:jc w:val="center"/>
        <w:rPr>
          <w:sz w:val="28"/>
          <w:szCs w:val="28"/>
        </w:rPr>
      </w:pPr>
    </w:p>
    <w:p>
      <w:pPr>
        <w:pStyle w:val="9"/>
        <w:spacing w:before="156" w:beforeLines="50" w:after="156" w:line="360" w:lineRule="auto"/>
        <w:jc w:val="center"/>
        <w:rPr>
          <w:sz w:val="28"/>
          <w:szCs w:val="28"/>
        </w:rPr>
      </w:pPr>
    </w:p>
    <w:p>
      <w:pPr>
        <w:pStyle w:val="9"/>
        <w:spacing w:before="156" w:beforeLines="50" w:after="156" w:line="360" w:lineRule="auto"/>
        <w:jc w:val="center"/>
        <w:rPr>
          <w:sz w:val="28"/>
          <w:szCs w:val="28"/>
        </w:rPr>
      </w:pPr>
    </w:p>
    <w:p>
      <w:pPr>
        <w:pStyle w:val="9"/>
        <w:spacing w:before="156" w:beforeLines="50" w:after="156" w:line="360" w:lineRule="auto"/>
        <w:jc w:val="center"/>
        <w:rPr>
          <w:sz w:val="28"/>
          <w:szCs w:val="28"/>
        </w:rPr>
      </w:pPr>
    </w:p>
    <w:p>
      <w:pPr>
        <w:pStyle w:val="9"/>
        <w:spacing w:after="156" w:line="360" w:lineRule="auto"/>
        <w:jc w:val="center"/>
        <w:rPr>
          <w:rFonts w:hint="eastAsia" w:eastAsia="黑体"/>
          <w:spacing w:val="34"/>
          <w:sz w:val="32"/>
          <w:szCs w:val="32"/>
          <w:lang w:eastAsia="zh-CN"/>
        </w:rPr>
      </w:pPr>
      <w:r>
        <w:rPr>
          <w:rFonts w:hint="eastAsia"/>
          <w:spacing w:val="34"/>
          <w:sz w:val="32"/>
          <w:szCs w:val="32"/>
          <w:lang w:eastAsia="zh-CN"/>
        </w:rPr>
        <w:t>神池县人民政府</w:t>
      </w:r>
    </w:p>
    <w:p>
      <w:pPr>
        <w:pStyle w:val="9"/>
        <w:spacing w:after="156" w:line="360" w:lineRule="auto"/>
        <w:jc w:val="center"/>
        <w:rPr>
          <w:sz w:val="32"/>
          <w:szCs w:val="32"/>
        </w:rPr>
        <w:sectPr>
          <w:pgSz w:w="11906" w:h="16838"/>
          <w:pgMar w:top="1587" w:right="1587" w:bottom="1587" w:left="1587" w:header="851" w:footer="992" w:gutter="0"/>
          <w:pgNumType w:fmt="decimal"/>
          <w:cols w:space="720" w:num="1"/>
          <w:docGrid w:type="lines" w:linePitch="312" w:charSpace="0"/>
        </w:sectPr>
      </w:pPr>
      <w:r>
        <w:rPr>
          <w:rFonts w:hint="eastAsia"/>
          <w:sz w:val="32"/>
          <w:szCs w:val="32"/>
          <w:lang w:val="en-US" w:eastAsia="zh-CN"/>
        </w:rPr>
        <w:t>2021</w:t>
      </w:r>
      <w:r>
        <w:rPr>
          <w:sz w:val="32"/>
          <w:szCs w:val="32"/>
        </w:rPr>
        <w:t>年</w:t>
      </w:r>
      <w:r>
        <w:rPr>
          <w:rFonts w:hint="eastAsia"/>
          <w:sz w:val="32"/>
          <w:szCs w:val="32"/>
          <w:lang w:val="en-US" w:eastAsia="zh-CN"/>
        </w:rPr>
        <w:t>7</w:t>
      </w:r>
      <w:r>
        <w:rPr>
          <w:sz w:val="32"/>
          <w:szCs w:val="32"/>
        </w:rPr>
        <w:t>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bookmarkStart w:id="0" w:name="_Toc377080229"/>
      <w:r>
        <w:rPr>
          <w:rFonts w:hint="eastAsia" w:ascii="仿宋_GB2312" w:hAnsi="仿宋_GB2312" w:eastAsia="仿宋_GB2312" w:cs="仿宋_GB2312"/>
          <w:i w:val="0"/>
          <w:caps w:val="0"/>
          <w:color w:val="191919"/>
          <w:spacing w:val="0"/>
          <w:sz w:val="28"/>
          <w:szCs w:val="28"/>
          <w:shd w:val="clear" w:color="auto" w:fill="FFFFFF"/>
        </w:rPr>
        <w:t>声环境功能区的调整和划分是环境噪声执法、建设项目管理、噪声污染源治理的重要依据，是区域规划调整、引导产业布局和结构调整的科学依据。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为进一步提升我县噪声污染防治和声环境质量管理水平，强化噪声排放源监督管理，切实解决噪声扰民等突出环境问题，建设安静舒适的宜居环境，保障居民生活、学习、工作等各类场所的安静适宜，根据《中华人民共和国环境噪声污染防治法》、《声环境质量标准》（GB3096-2008）、</w:t>
      </w:r>
      <w:r>
        <w:rPr>
          <w:rFonts w:hint="eastAsia" w:ascii="仿宋_GB2312" w:hAnsi="仿宋_GB2312" w:eastAsia="仿宋_GB2312" w:cs="仿宋_GB2312"/>
          <w:color w:val="auto"/>
          <w:sz w:val="28"/>
          <w:szCs w:val="28"/>
          <w:highlight w:val="none"/>
        </w:rPr>
        <w:t>《声环境功能区划分技术规范》（GB/T15190-2014）</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及</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关于加强和规范声环境功能区划分管理工作的通知</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（环办大气函</w:t>
      </w:r>
      <w:r>
        <w:rPr>
          <w:rFonts w:hint="eastAsia" w:ascii="仿宋_GB2312" w:hAnsi="仿宋_GB2312" w:eastAsia="仿宋_GB2312" w:cs="仿宋_GB2312"/>
          <w:color w:val="auto"/>
          <w:sz w:val="28"/>
          <w:szCs w:val="28"/>
          <w:highlight w:val="none"/>
          <w:lang w:val="en-US" w:eastAsia="zh-CN"/>
        </w:rPr>
        <w:t>[2017]1709号</w:t>
      </w:r>
      <w:r>
        <w:rPr>
          <w:rFonts w:hint="eastAsia" w:ascii="仿宋_GB2312" w:hAnsi="仿宋_GB2312" w:eastAsia="仿宋_GB2312" w:cs="仿宋_GB2312"/>
          <w:color w:val="auto"/>
          <w:sz w:val="28"/>
          <w:szCs w:val="28"/>
          <w:highlight w:val="none"/>
          <w:lang w:eastAsia="zh-CN"/>
        </w:rPr>
        <w:t>）的要求，</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结合环境质量现状等实际情况，制定本方案。</w:t>
      </w:r>
    </w:p>
    <w:p>
      <w:pPr>
        <w:pStyle w:val="10"/>
        <w:spacing w:before="156" w:beforeLines="50" w:after="0" w:line="360" w:lineRule="auto"/>
        <w:rPr>
          <w:rFonts w:hint="eastAsia" w:ascii="仿宋_GB2312" w:hAnsi="仿宋_GB2312" w:eastAsia="仿宋_GB2312" w:cs="仿宋_GB2312"/>
          <w:b/>
          <w:bCs w:val="0"/>
          <w:lang w:val="en-US" w:eastAsia="zh-CN"/>
        </w:rPr>
      </w:pPr>
      <w:r>
        <w:rPr>
          <w:rFonts w:hint="eastAsia" w:ascii="仿宋_GB2312" w:hAnsi="仿宋_GB2312" w:eastAsia="仿宋_GB2312" w:cs="仿宋_GB2312"/>
          <w:b/>
          <w:bCs w:val="0"/>
          <w:lang w:val="en-US" w:eastAsia="zh-CN"/>
        </w:rPr>
        <w:t>1、总体要求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（1）主要目标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有效控制环境噪声污染的影响程度和范围，加强城市环境噪声管理水平，持续改善声环境质量，不断提高人民群众享有良好声环境的获得感。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（2）划分原则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①规划指导原则。以城市规划为指导，按区域规划用地的主导功能、用地现状确定。应覆盖整个城市规划区面积，并根据城市总体规划和用地性质变化而同步调整。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②适用性原则。用地现状与城市总体规划用途相差较大的区域，以用地现状作为依据，区划应便于城市噪声管理和促进噪声治理。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③单块的声环境功能区面积，原则上不小于0.5km</w:t>
      </w:r>
      <w:r>
        <w:rPr>
          <w:rFonts w:hint="eastAsia"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eastAsia" w:ascii="仿宋_GB2312" w:hAnsi="仿宋_GB2312" w:eastAsia="仿宋_GB2312" w:cs="仿宋_GB2312"/>
          <w:i w:val="0"/>
          <w:caps w:val="0"/>
          <w:color w:val="191919"/>
          <w:spacing w:val="0"/>
          <w:sz w:val="28"/>
          <w:szCs w:val="28"/>
          <w:shd w:val="clear" w:color="auto" w:fill="FFFFFF"/>
          <w:lang w:val="en-US" w:eastAsia="zh-CN"/>
        </w:rPr>
        <w:t>。山区等地形特殊的城市，可根据城市的地形特征确定适宜的区域面积。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④适时调整原则。调整声环境功能区类别需进行充分的说明，不能随意降低已确定的声环境功能区类别。严格控制4类声环境功能区范围。根据城市规模和用地变化情况，声功能区划可适时调整，原则上不超过5年调整一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⑤协调一致原则。城市区域声环境功能区划分要充分考虑城市的经济、社会发展，要有利于城市规划的实施和城市改造，做到区划科学合理，促进环境、经济、社会协调一致发展。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⑥相邻适用区达标原则。工业企业及固定源设备排放噪声影响到相邻噪声适用区内的噪声敏感建筑物时，其排放的噪声在敏感建筑物应达到该区域的声环境质量标准。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（3）适用范围</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pP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本次区划调整在原声功能区划的基础上，主要以用地现状来确定本次声功能区调整的区划范围。</w:t>
      </w:r>
    </w:p>
    <w:p>
      <w:pPr>
        <w:pStyle w:val="11"/>
        <w:spacing w:line="360" w:lineRule="auto"/>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pP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区划范围为神池县城市建成区和因城市建设需要实行控制管理的区域。具体范围为：东至温岭路，南至神朔线南侧，西至西海子，北至学府街以北300米，区划总面积为6.32km</w:t>
      </w:r>
      <w:r>
        <w:rPr>
          <w:rFonts w:hint="default" w:ascii="仿宋_GB2312" w:hAnsi="仿宋_GB2312" w:eastAsia="仿宋_GB2312" w:cs="仿宋_GB2312"/>
          <w:i w:val="0"/>
          <w:caps w:val="0"/>
          <w:color w:val="191919"/>
          <w:spacing w:val="0"/>
          <w:kern w:val="2"/>
          <w:sz w:val="28"/>
          <w:szCs w:val="28"/>
          <w:shd w:val="clear" w:color="auto" w:fill="FFFFFF"/>
          <w:vertAlign w:val="superscript"/>
          <w:lang w:val="en-US" w:eastAsia="zh-CN" w:bidi="ar-SA"/>
        </w:rPr>
        <w:t>2</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（4）适用时段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昼间、夜间时段分别为：昼间6:00～22:00，夜间22:00～次日6:00。</w:t>
      </w:r>
    </w:p>
    <w:p>
      <w:pPr>
        <w:pStyle w:val="10"/>
        <w:spacing w:before="156" w:beforeLines="50" w:after="0" w:line="360" w:lineRule="auto"/>
        <w:rPr>
          <w:rFonts w:hint="eastAsia" w:ascii="仿宋_GB2312" w:hAnsi="仿宋_GB2312" w:eastAsia="仿宋_GB2312" w:cs="仿宋_GB2312"/>
          <w:b/>
          <w:bCs w:val="0"/>
          <w:lang w:val="en-US" w:eastAsia="zh-CN"/>
        </w:rPr>
      </w:pPr>
      <w:r>
        <w:rPr>
          <w:rFonts w:hint="eastAsia" w:ascii="仿宋_GB2312" w:hAnsi="仿宋_GB2312" w:eastAsia="仿宋_GB2312" w:cs="仿宋_GB2312"/>
          <w:b/>
          <w:bCs w:val="0"/>
          <w:lang w:val="en-US" w:eastAsia="zh-CN"/>
        </w:rPr>
        <w:t>2、声环境功能区分类、划分及噪声限值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eastAsia="zh-CN"/>
        </w:rPr>
      </w:pPr>
      <w:r>
        <w:rPr>
          <w:rFonts w:hint="eastAsia" w:ascii="仿宋_GB2312" w:hAnsi="仿宋_GB2312" w:eastAsia="仿宋_GB2312" w:cs="仿宋_GB2312"/>
          <w:i w:val="0"/>
          <w:caps w:val="0"/>
          <w:color w:val="191919"/>
          <w:spacing w:val="0"/>
          <w:sz w:val="28"/>
          <w:szCs w:val="28"/>
          <w:shd w:val="clear" w:color="auto" w:fill="FFFFFF"/>
          <w:lang w:eastAsia="zh-CN"/>
        </w:rPr>
        <w:t>（</w:t>
      </w:r>
      <w:r>
        <w:rPr>
          <w:rFonts w:hint="eastAsia" w:ascii="仿宋_GB2312" w:hAnsi="仿宋_GB2312" w:eastAsia="仿宋_GB2312" w:cs="仿宋_GB2312"/>
          <w:i w:val="0"/>
          <w:caps w:val="0"/>
          <w:color w:val="191919"/>
          <w:spacing w:val="0"/>
          <w:sz w:val="28"/>
          <w:szCs w:val="28"/>
          <w:shd w:val="clear" w:color="auto" w:fill="FFFFFF"/>
          <w:lang w:val="en-US" w:eastAsia="zh-CN"/>
        </w:rPr>
        <w:t>1</w:t>
      </w:r>
      <w:r>
        <w:rPr>
          <w:rFonts w:hint="eastAsia" w:ascii="仿宋_GB2312" w:hAnsi="仿宋_GB2312" w:eastAsia="仿宋_GB2312" w:cs="仿宋_GB2312"/>
          <w:i w:val="0"/>
          <w:caps w:val="0"/>
          <w:color w:val="191919"/>
          <w:spacing w:val="0"/>
          <w:sz w:val="28"/>
          <w:szCs w:val="28"/>
          <w:shd w:val="clear" w:color="auto" w:fill="FFFFFF"/>
          <w:lang w:eastAsia="zh-CN"/>
        </w:rPr>
        <w:t>）</w:t>
      </w:r>
      <w:r>
        <w:rPr>
          <w:rFonts w:hint="eastAsia" w:ascii="仿宋_GB2312" w:hAnsi="仿宋_GB2312" w:eastAsia="仿宋_GB2312" w:cs="仿宋_GB2312"/>
          <w:i w:val="0"/>
          <w:caps w:val="0"/>
          <w:color w:val="191919"/>
          <w:spacing w:val="0"/>
          <w:sz w:val="28"/>
          <w:szCs w:val="28"/>
          <w:shd w:val="clear" w:color="auto" w:fill="FFFFFF"/>
        </w:rPr>
        <w:t>声环境功能区</w:t>
      </w:r>
      <w:r>
        <w:rPr>
          <w:rFonts w:hint="eastAsia" w:ascii="仿宋_GB2312" w:hAnsi="仿宋_GB2312" w:eastAsia="仿宋_GB2312" w:cs="仿宋_GB2312"/>
          <w:i w:val="0"/>
          <w:caps w:val="0"/>
          <w:color w:val="191919"/>
          <w:spacing w:val="0"/>
          <w:sz w:val="28"/>
          <w:szCs w:val="28"/>
          <w:shd w:val="clear" w:color="auto" w:fill="FFFFFF"/>
          <w:lang w:eastAsia="zh-CN"/>
        </w:rPr>
        <w:t>分类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rPr>
      </w:pPr>
      <w:r>
        <w:rPr>
          <w:rFonts w:hint="eastAsia" w:ascii="仿宋_GB2312" w:hAnsi="仿宋_GB2312" w:eastAsia="仿宋_GB2312" w:cs="仿宋_GB2312"/>
          <w:i w:val="0"/>
          <w:caps w:val="0"/>
          <w:color w:val="191919"/>
          <w:spacing w:val="0"/>
          <w:sz w:val="28"/>
          <w:szCs w:val="28"/>
          <w:shd w:val="clear" w:color="auto" w:fill="FFFFFF"/>
        </w:rPr>
        <w:t>依据《声环境质量标准》（GB 3096-2008），按区域的使用功能特点和环境质量要求，声环境功能区分为以下五类：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highlight w:val="none"/>
          <w:shd w:val="clear" w:color="auto" w:fill="FFFFFF"/>
        </w:rPr>
      </w:pPr>
      <w:r>
        <w:rPr>
          <w:rFonts w:hint="eastAsia" w:ascii="仿宋_GB2312" w:hAnsi="仿宋_GB2312" w:eastAsia="仿宋_GB2312" w:cs="仿宋_GB2312"/>
          <w:i w:val="0"/>
          <w:caps w:val="0"/>
          <w:color w:val="191919"/>
          <w:spacing w:val="0"/>
          <w:sz w:val="28"/>
          <w:szCs w:val="28"/>
          <w:highlight w:val="none"/>
          <w:shd w:val="clear" w:color="auto" w:fill="FFFFFF"/>
        </w:rPr>
        <w:t>0 类声环境功能区：指康复疗养区等特别需要安静的区域。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highlight w:val="none"/>
          <w:shd w:val="clear" w:color="auto" w:fill="FFFFFF"/>
        </w:rPr>
      </w:pPr>
      <w:r>
        <w:rPr>
          <w:rFonts w:hint="eastAsia" w:ascii="仿宋_GB2312" w:hAnsi="仿宋_GB2312" w:eastAsia="仿宋_GB2312" w:cs="仿宋_GB2312"/>
          <w:i w:val="0"/>
          <w:caps w:val="0"/>
          <w:color w:val="191919"/>
          <w:spacing w:val="0"/>
          <w:sz w:val="28"/>
          <w:szCs w:val="28"/>
          <w:highlight w:val="none"/>
          <w:shd w:val="clear" w:color="auto" w:fill="FFFFFF"/>
        </w:rPr>
        <w:t>1 类声环境功能区：指以居民住宅、医疗卫生、文化教育、科研设计、行政办公为主要功能，需要保持安静的区域。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highlight w:val="none"/>
          <w:shd w:val="clear" w:color="auto" w:fill="FFFFFF"/>
        </w:rPr>
      </w:pPr>
      <w:r>
        <w:rPr>
          <w:rFonts w:hint="eastAsia" w:ascii="仿宋_GB2312" w:hAnsi="仿宋_GB2312" w:eastAsia="仿宋_GB2312" w:cs="仿宋_GB2312"/>
          <w:i w:val="0"/>
          <w:caps w:val="0"/>
          <w:color w:val="191919"/>
          <w:spacing w:val="0"/>
          <w:sz w:val="28"/>
          <w:szCs w:val="28"/>
          <w:highlight w:val="none"/>
          <w:shd w:val="clear" w:color="auto" w:fill="FFFFFF"/>
        </w:rPr>
        <w:t>2 类声环境功能区：指以商业金融、集市贸易为主要功能，或者居住、商业、工业混杂，需要维护住宅安静的区域。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highlight w:val="none"/>
          <w:shd w:val="clear" w:color="auto" w:fill="FFFFFF"/>
        </w:rPr>
      </w:pPr>
      <w:r>
        <w:rPr>
          <w:rFonts w:hint="eastAsia" w:ascii="仿宋_GB2312" w:hAnsi="仿宋_GB2312" w:eastAsia="仿宋_GB2312" w:cs="仿宋_GB2312"/>
          <w:i w:val="0"/>
          <w:caps w:val="0"/>
          <w:color w:val="191919"/>
          <w:spacing w:val="0"/>
          <w:sz w:val="28"/>
          <w:szCs w:val="28"/>
          <w:highlight w:val="none"/>
          <w:shd w:val="clear" w:color="auto" w:fill="FFFFFF"/>
        </w:rPr>
        <w:t>3 类声环境功能区：指以工业生产、仓储物流为主要功能，需要防止工业噪声对周围环境产生严重影响的区域。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rPr>
      </w:pPr>
      <w:r>
        <w:rPr>
          <w:rFonts w:hint="eastAsia" w:ascii="仿宋_GB2312" w:hAnsi="仿宋_GB2312" w:eastAsia="仿宋_GB2312" w:cs="仿宋_GB2312"/>
          <w:i w:val="0"/>
          <w:caps w:val="0"/>
          <w:color w:val="191919"/>
          <w:spacing w:val="0"/>
          <w:sz w:val="28"/>
          <w:szCs w:val="28"/>
          <w:highlight w:val="none"/>
          <w:shd w:val="clear" w:color="auto" w:fill="FFFFFF"/>
        </w:rPr>
        <w:t>4 类声环境功能区：指交通干线两侧</w:t>
      </w:r>
      <w:r>
        <w:rPr>
          <w:rFonts w:hint="eastAsia" w:ascii="仿宋_GB2312" w:hAnsi="仿宋_GB2312" w:eastAsia="仿宋_GB2312" w:cs="仿宋_GB2312"/>
          <w:i w:val="0"/>
          <w:caps w:val="0"/>
          <w:color w:val="191919"/>
          <w:spacing w:val="0"/>
          <w:sz w:val="28"/>
          <w:szCs w:val="28"/>
          <w:shd w:val="clear" w:color="auto" w:fill="FFFFFF"/>
        </w:rPr>
        <w:t>一定距离之内，需要防止交通噪声对周围环境产生严重影响的区域，包括4a 类和4b 类两种类型。4a 类为高速公路、一级公路、二级公路、城市快速路、城市主干路、城市次干路、城市轨道交通（地面段）、内河航道两侧区域；4b 类为铁路干线两侧区域。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声环境功能区划分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val="en-US" w:eastAsia="zh-CN"/>
        </w:rPr>
      </w:pPr>
      <w:r>
        <w:rPr>
          <w:rFonts w:hint="eastAsia" w:ascii="仿宋_GB2312" w:hAnsi="仿宋_GB2312" w:eastAsia="仿宋_GB2312" w:cs="仿宋_GB2312"/>
          <w:i w:val="0"/>
          <w:caps w:val="0"/>
          <w:color w:val="191919"/>
          <w:spacing w:val="0"/>
          <w:sz w:val="28"/>
          <w:szCs w:val="28"/>
          <w:shd w:val="clear" w:color="auto" w:fill="FFFFFF"/>
          <w:lang w:val="en-US" w:eastAsia="zh-CN"/>
        </w:rPr>
        <w:t>①用地类型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Ⅰ类用地包括GB50137-2011中规定的居住用地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R类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、公园绿地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G1类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、行政办公用地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A1类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、文化设施用地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A2类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、教育科研用地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A3类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、医疗卫生用地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A5类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、社会福利设施用地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A6类</w:t>
      </w:r>
      <w:r>
        <w:rPr>
          <w:rFonts w:hint="eastAsia" w:ascii="仿宋_GB2312" w:hAnsi="仿宋_GB2312" w:eastAsia="仿宋_GB2312" w:cs="仿宋_GB2312"/>
          <w:i w:val="0"/>
          <w:caps w:val="0"/>
          <w:color w:val="191919"/>
          <w:spacing w:val="0"/>
          <w:sz w:val="28"/>
          <w:szCs w:val="28"/>
          <w:shd w:val="clear" w:color="auto" w:fill="FFFFFF"/>
          <w:lang w:val="en-US" w:eastAsia="zh-CN"/>
        </w:rPr>
        <w:t>，包括养老院、福利院、孤儿院等）；</w:t>
      </w:r>
      <w:r>
        <w:rPr>
          <w:rFonts w:hint="default" w:ascii="仿宋_GB2312" w:hAnsi="仿宋_GB2312" w:eastAsia="仿宋_GB2312" w:cs="仿宋_GB2312"/>
          <w:i w:val="0"/>
          <w:caps w:val="0"/>
          <w:color w:val="191919"/>
          <w:spacing w:val="0"/>
          <w:sz w:val="28"/>
          <w:szCs w:val="28"/>
          <w:shd w:val="clear" w:color="auto" w:fill="FFFFFF"/>
          <w:lang w:val="en-US" w:eastAsia="zh-CN"/>
        </w:rPr>
        <w:t>Ⅱ类用地包括GB50137-2011中规定的工业用地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M类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和物流仓储用地</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W类</w:t>
      </w:r>
      <w:r>
        <w:rPr>
          <w:rFonts w:hint="eastAsia"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②划分次序</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区划宜首先对0、1、3类声环境功能区确认划分，余下区域划分为2类声环境功能区,在此基础上划分4类声环境功能区。</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③0-3类声环境功能区划分</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0类声环境功能区适用于康复疗养区等特别需要安静的区域。该区域内及附近区域应无明显噪声源，区域界限明确。</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符合下列条件之一的划为1类声环境功能区：</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olor w:val="191919"/>
          <w:spacing w:val="0"/>
          <w:kern w:val="2"/>
          <w:sz w:val="28"/>
          <w:szCs w:val="28"/>
          <w:shd w:val="clear" w:color="auto" w:fill="FFFFFF"/>
          <w:lang w:val="en-US" w:eastAsia="zh-CN" w:bidi="ar-SA"/>
        </w:rPr>
        <w:t>a.</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城市用地现状已形成一定规模或近期规划已明确主要功能的区域，其用地性质符合</w:t>
      </w:r>
      <w:r>
        <w:rPr>
          <w:rFonts w:hint="eastAsia" w:ascii="仿宋_GB2312" w:hAnsi="仿宋_GB2312" w:eastAsia="仿宋_GB2312" w:cs="仿宋_GB2312"/>
          <w:i w:val="0"/>
          <w:caps w:val="0"/>
          <w:color w:val="191919"/>
          <w:spacing w:val="0"/>
          <w:sz w:val="28"/>
          <w:szCs w:val="28"/>
          <w:shd w:val="clear" w:color="auto" w:fill="FFFFFF"/>
        </w:rPr>
        <w:t>1类声环境功能区</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b.Ⅰ类用地占地率大于70%(含70%）的混合用地区域。</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符合下列条件之一的划为2类声环境功能区:</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olor w:val="191919"/>
          <w:spacing w:val="0"/>
          <w:kern w:val="2"/>
          <w:sz w:val="28"/>
          <w:szCs w:val="28"/>
          <w:shd w:val="clear" w:color="auto" w:fill="FFFFFF"/>
          <w:lang w:val="en-US" w:eastAsia="zh-CN" w:bidi="ar-SA"/>
        </w:rPr>
        <w:t>a.</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城市用地现状已形成一定规模或近期规划已明确主要功能的区域，其用地性质符合</w:t>
      </w:r>
      <w:r>
        <w:rPr>
          <w:rFonts w:hint="eastAsia" w:ascii="仿宋_GB2312" w:hAnsi="仿宋_GB2312" w:eastAsia="仿宋_GB2312" w:cs="仿宋_GB2312"/>
          <w:i w:val="0"/>
          <w:caps w:val="0"/>
          <w:color w:val="191919"/>
          <w:spacing w:val="0"/>
          <w:sz w:val="28"/>
          <w:szCs w:val="28"/>
          <w:shd w:val="clear" w:color="auto" w:fill="FFFFFF"/>
          <w:lang w:val="en-US" w:eastAsia="zh-CN"/>
        </w:rPr>
        <w:t>2</w:t>
      </w:r>
      <w:r>
        <w:rPr>
          <w:rFonts w:hint="eastAsia" w:ascii="仿宋_GB2312" w:hAnsi="仿宋_GB2312" w:eastAsia="仿宋_GB2312" w:cs="仿宋_GB2312"/>
          <w:i w:val="0"/>
          <w:caps w:val="0"/>
          <w:color w:val="191919"/>
          <w:spacing w:val="0"/>
          <w:sz w:val="28"/>
          <w:szCs w:val="28"/>
          <w:shd w:val="clear" w:color="auto" w:fill="FFFFFF"/>
        </w:rPr>
        <w:t>类声环境功能区</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b.划定的0、1、3类声环境功能区以外居住、商业、工业混杂区域。</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符合下列条件之一的划为3类声环境功能区：</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olor w:val="191919"/>
          <w:spacing w:val="0"/>
          <w:kern w:val="2"/>
          <w:sz w:val="28"/>
          <w:szCs w:val="28"/>
          <w:shd w:val="clear" w:color="auto" w:fill="FFFFFF"/>
          <w:lang w:val="en-US" w:eastAsia="zh-CN" w:bidi="ar-SA"/>
        </w:rPr>
        <w:t>a.</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城市用地现状已形成一定规模或近期规划已明确主要功能的区域，其用地性质符合</w:t>
      </w:r>
      <w:r>
        <w:rPr>
          <w:rFonts w:hint="eastAsia" w:ascii="仿宋_GB2312" w:hAnsi="仿宋_GB2312" w:eastAsia="仿宋_GB2312" w:cs="仿宋_GB2312"/>
          <w:i w:val="0"/>
          <w:caps w:val="0"/>
          <w:color w:val="191919"/>
          <w:spacing w:val="0"/>
          <w:sz w:val="28"/>
          <w:szCs w:val="28"/>
          <w:shd w:val="clear" w:color="auto" w:fill="FFFFFF"/>
          <w:lang w:val="en-US" w:eastAsia="zh-CN"/>
        </w:rPr>
        <w:t>3</w:t>
      </w:r>
      <w:r>
        <w:rPr>
          <w:rFonts w:hint="eastAsia" w:ascii="仿宋_GB2312" w:hAnsi="仿宋_GB2312" w:eastAsia="仿宋_GB2312" w:cs="仿宋_GB2312"/>
          <w:i w:val="0"/>
          <w:caps w:val="0"/>
          <w:color w:val="191919"/>
          <w:spacing w:val="0"/>
          <w:sz w:val="28"/>
          <w:szCs w:val="28"/>
          <w:shd w:val="clear" w:color="auto" w:fill="FFFFFF"/>
        </w:rPr>
        <w:t>类声环境功能区</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b.Ⅱ类用地占地率大于70%(含70%）的混合用地区域。</w:t>
      </w:r>
    </w:p>
    <w:p>
      <w:pPr>
        <w:pStyle w:val="2"/>
        <w:numPr>
          <w:ilvl w:val="0"/>
          <w:numId w:val="0"/>
        </w:numPr>
        <w:ind w:firstLine="560" w:firstLineChars="200"/>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④4a类声环境功能区划分</w:t>
      </w:r>
    </w:p>
    <w:p>
      <w:pPr>
        <w:pStyle w:val="2"/>
        <w:numPr>
          <w:ilvl w:val="0"/>
          <w:numId w:val="0"/>
        </w:numPr>
        <w:ind w:firstLine="560" w:firstLineChars="200"/>
        <w:rPr>
          <w:rFonts w:hint="default" w:ascii="Times New Roman" w:hAnsi="Times New Roman" w:eastAsia="仿宋_GB2312" w:cs="Times New Roman"/>
          <w:i w:val="0"/>
          <w:caps w:val="0"/>
          <w:color w:val="191919"/>
          <w:spacing w:val="0"/>
          <w:kern w:val="2"/>
          <w:sz w:val="28"/>
          <w:szCs w:val="28"/>
          <w:shd w:val="clear" w:color="auto" w:fill="FFFFFF"/>
          <w:lang w:val="en-US" w:eastAsia="zh-CN" w:bidi="ar-SA"/>
        </w:rPr>
      </w:pP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将交通干线边界线外一定距离内的区域划分为4a类声环境功能区。距离的确定方法如下</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相邻区域为1类声环</w:t>
      </w:r>
      <w:r>
        <w:rPr>
          <w:rFonts w:hint="default" w:ascii="Times New Roman" w:hAnsi="Times New Roman" w:eastAsia="仿宋_GB2312" w:cs="Times New Roman"/>
          <w:i w:val="0"/>
          <w:caps w:val="0"/>
          <w:color w:val="191919"/>
          <w:spacing w:val="0"/>
          <w:kern w:val="2"/>
          <w:sz w:val="28"/>
          <w:szCs w:val="28"/>
          <w:shd w:val="clear" w:color="auto" w:fill="FFFFFF"/>
          <w:lang w:val="en-US" w:eastAsia="zh-CN" w:bidi="ar-SA"/>
        </w:rPr>
        <w:t>境功能区，距离为50m士5m；相邻区域为2类声环境功能区，距离为35m±5m；相邻区域为3类声环境功能区，距离为20m土5m。</w:t>
      </w:r>
    </w:p>
    <w:p>
      <w:pPr>
        <w:pStyle w:val="2"/>
        <w:numPr>
          <w:ilvl w:val="0"/>
          <w:numId w:val="0"/>
        </w:numPr>
        <w:ind w:firstLine="560" w:firstLineChars="200"/>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pP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当临街建筑高于三层楼房以上(含三层)时，将临街建筑面向交通干线一侧至交通干线边界线的区域定为4a类声环境功能区。</w:t>
      </w:r>
    </w:p>
    <w:p>
      <w:pPr>
        <w:pStyle w:val="2"/>
        <w:numPr>
          <w:ilvl w:val="0"/>
          <w:numId w:val="0"/>
        </w:numPr>
        <w:ind w:firstLine="560" w:firstLineChars="200"/>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⑤</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4b类声环境功能区划分</w:t>
      </w:r>
    </w:p>
    <w:p>
      <w:pPr>
        <w:pStyle w:val="2"/>
        <w:numPr>
          <w:ilvl w:val="0"/>
          <w:numId w:val="0"/>
        </w:numPr>
        <w:ind w:firstLine="560" w:firstLineChars="200"/>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pP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铁路</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干线边界线外一定距离以内的区域划分为4</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b</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类声环境功能区。距离的确定方法同</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4a类</w:t>
      </w:r>
      <w:r>
        <w:rPr>
          <w:rFonts w:hint="default" w:ascii="仿宋_GB2312" w:hAnsi="仿宋_GB2312" w:eastAsia="仿宋_GB2312" w:cs="仿宋_GB2312"/>
          <w:i w:val="0"/>
          <w:caps w:val="0"/>
          <w:color w:val="191919"/>
          <w:spacing w:val="0"/>
          <w:kern w:val="2"/>
          <w:sz w:val="28"/>
          <w:szCs w:val="28"/>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i w:val="0"/>
          <w:caps w:val="0"/>
          <w:color w:val="191919"/>
          <w:spacing w:val="0"/>
          <w:sz w:val="28"/>
          <w:szCs w:val="28"/>
          <w:shd w:val="clear" w:color="auto" w:fill="FFFFFF"/>
          <w:lang w:eastAsia="zh-CN"/>
        </w:rPr>
      </w:pPr>
      <w:r>
        <w:rPr>
          <w:rFonts w:hint="eastAsia" w:ascii="仿宋_GB2312" w:hAnsi="仿宋_GB2312" w:eastAsia="仿宋_GB2312" w:cs="仿宋_GB2312"/>
          <w:i w:val="0"/>
          <w:caps w:val="0"/>
          <w:color w:val="191919"/>
          <w:spacing w:val="0"/>
          <w:sz w:val="28"/>
          <w:szCs w:val="28"/>
          <w:shd w:val="clear" w:color="auto" w:fill="FFFFFF"/>
          <w:lang w:eastAsia="zh-CN"/>
        </w:rPr>
        <w:t>（</w:t>
      </w:r>
      <w:r>
        <w:rPr>
          <w:rFonts w:hint="eastAsia" w:ascii="仿宋_GB2312" w:hAnsi="仿宋_GB2312" w:eastAsia="仿宋_GB2312" w:cs="仿宋_GB2312"/>
          <w:i w:val="0"/>
          <w:caps w:val="0"/>
          <w:color w:val="191919"/>
          <w:spacing w:val="0"/>
          <w:sz w:val="28"/>
          <w:szCs w:val="28"/>
          <w:shd w:val="clear" w:color="auto" w:fill="FFFFFF"/>
          <w:lang w:val="en-US" w:eastAsia="zh-CN"/>
        </w:rPr>
        <w:t>3</w:t>
      </w:r>
      <w:r>
        <w:rPr>
          <w:rFonts w:hint="eastAsia" w:ascii="仿宋_GB2312" w:hAnsi="仿宋_GB2312" w:eastAsia="仿宋_GB2312" w:cs="仿宋_GB2312"/>
          <w:i w:val="0"/>
          <w:caps w:val="0"/>
          <w:color w:val="191919"/>
          <w:spacing w:val="0"/>
          <w:sz w:val="28"/>
          <w:szCs w:val="28"/>
          <w:shd w:val="clear" w:color="auto" w:fill="FFFFFF"/>
          <w:lang w:eastAsia="zh-CN"/>
        </w:rPr>
        <w:t>）噪声限值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bCs/>
          <w:color w:val="auto"/>
          <w:szCs w:val="21"/>
          <w:highlight w:val="none"/>
          <w:lang w:val="en-US" w:eastAsia="zh-CN"/>
        </w:rPr>
      </w:pPr>
      <w:r>
        <w:rPr>
          <w:rFonts w:hint="eastAsia" w:ascii="仿宋_GB2312" w:hAnsi="仿宋_GB2312" w:eastAsia="仿宋_GB2312" w:cs="仿宋_GB2312"/>
          <w:i w:val="0"/>
          <w:caps w:val="0"/>
          <w:color w:val="191919"/>
          <w:spacing w:val="0"/>
          <w:sz w:val="28"/>
          <w:szCs w:val="28"/>
          <w:shd w:val="clear" w:color="auto" w:fill="FFFFFF"/>
        </w:rPr>
        <w:t>依据《声环境质量标准》（GB 3096-2008），各类声环境功能区环境噪声等效声级限值见表</w:t>
      </w:r>
      <w:r>
        <w:rPr>
          <w:rFonts w:hint="eastAsia" w:ascii="仿宋_GB2312" w:hAnsi="仿宋_GB2312" w:eastAsia="仿宋_GB2312" w:cs="仿宋_GB2312"/>
          <w:i w:val="0"/>
          <w:caps w:val="0"/>
          <w:color w:val="191919"/>
          <w:spacing w:val="0"/>
          <w:sz w:val="28"/>
          <w:szCs w:val="28"/>
          <w:shd w:val="clear" w:color="auto" w:fill="FFFFFF"/>
          <w:lang w:val="en-US" w:eastAsia="zh-CN"/>
        </w:rPr>
        <w:t>1</w:t>
      </w:r>
      <w:r>
        <w:rPr>
          <w:rFonts w:hint="eastAsia" w:ascii="仿宋_GB2312" w:hAnsi="仿宋_GB2312" w:eastAsia="仿宋_GB2312" w:cs="仿宋_GB2312"/>
          <w:i w:val="0"/>
          <w:caps w:val="0"/>
          <w:color w:val="191919"/>
          <w:spacing w:val="0"/>
          <w:sz w:val="28"/>
          <w:szCs w:val="28"/>
          <w:shd w:val="clear" w:color="auto" w:fill="FFFFFF"/>
        </w:rPr>
        <w:t>。</w:t>
      </w:r>
    </w:p>
    <w:p>
      <w:pPr>
        <w:ind w:firstLine="480"/>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Cs/>
          <w:color w:val="auto"/>
          <w:szCs w:val="21"/>
          <w:highlight w:val="none"/>
          <w:lang w:val="en-US" w:eastAsia="zh-CN"/>
        </w:rPr>
        <w:t xml:space="preserve">   </w:t>
      </w:r>
      <w:r>
        <w:rPr>
          <w:rFonts w:hint="eastAsia" w:ascii="仿宋_GB2312" w:hAnsi="仿宋_GB2312" w:eastAsia="仿宋_GB2312" w:cs="仿宋_GB2312"/>
          <w:b/>
          <w:bCs w:val="0"/>
          <w:color w:val="auto"/>
          <w:sz w:val="24"/>
          <w:szCs w:val="24"/>
          <w:highlight w:val="none"/>
        </w:rPr>
        <w:t>表1 环境噪声限值 单位：dB (A)</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169"/>
        <w:gridCol w:w="2561"/>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22" w:type="dxa"/>
            <w:gridSpan w:val="2"/>
            <w:vMerge w:val="restart"/>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声环境功能区类别</w:t>
            </w:r>
          </w:p>
        </w:tc>
        <w:tc>
          <w:tcPr>
            <w:tcW w:w="5037" w:type="dxa"/>
            <w:gridSpan w:val="2"/>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22" w:type="dxa"/>
            <w:gridSpan w:val="2"/>
            <w:vMerge w:val="continue"/>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昼间</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622" w:type="dxa"/>
            <w:gridSpan w:val="2"/>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0类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50</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22" w:type="dxa"/>
            <w:gridSpan w:val="2"/>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55</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22" w:type="dxa"/>
            <w:gridSpan w:val="2"/>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60</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22" w:type="dxa"/>
            <w:gridSpan w:val="2"/>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65</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53" w:type="dxa"/>
            <w:vMerge w:val="restart"/>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4类</w:t>
            </w:r>
          </w:p>
        </w:tc>
        <w:tc>
          <w:tcPr>
            <w:tcW w:w="2169"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4a类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70</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3" w:type="dxa"/>
            <w:vMerge w:val="continue"/>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p>
        </w:tc>
        <w:tc>
          <w:tcPr>
            <w:tcW w:w="2169"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4b类</w:t>
            </w:r>
          </w:p>
        </w:tc>
        <w:tc>
          <w:tcPr>
            <w:tcW w:w="2561"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70</w:t>
            </w:r>
          </w:p>
        </w:tc>
        <w:tc>
          <w:tcPr>
            <w:tcW w:w="2476" w:type="dxa"/>
            <w:noWrap w:val="0"/>
            <w:vAlign w:val="center"/>
          </w:tcPr>
          <w:p>
            <w:pPr>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60</w:t>
            </w:r>
          </w:p>
        </w:tc>
      </w:tr>
    </w:tbl>
    <w:p>
      <w:pPr>
        <w:pStyle w:val="2"/>
        <w:rPr>
          <w:rFonts w:hint="eastAsia"/>
          <w:lang w:val="en-US" w:eastAsia="zh-CN"/>
        </w:rPr>
      </w:pPr>
      <w:r>
        <w:rPr>
          <w:rFonts w:hint="eastAsia" w:ascii="仿宋_GB2312" w:hAnsi="仿宋_GB2312" w:eastAsia="仿宋_GB2312" w:cs="仿宋_GB2312"/>
          <w:color w:val="auto"/>
          <w:sz w:val="21"/>
          <w:szCs w:val="21"/>
          <w:highlight w:val="none"/>
        </w:rPr>
        <w:t>注：各类声环境功能区夜间突发噪声，其最大声级超过环境噪声限值的幅度不得高于15</w:t>
      </w:r>
      <w:r>
        <w:rPr>
          <w:rFonts w:hint="eastAsia" w:ascii="仿宋_GB2312" w:hAnsi="仿宋_GB2312" w:eastAsia="仿宋_GB2312" w:cs="仿宋_GB2312"/>
          <w:color w:val="auto"/>
          <w:highlight w:val="none"/>
        </w:rPr>
        <w:t>dB (A)。</w:t>
      </w:r>
    </w:p>
    <w:bookmarkEnd w:id="0"/>
    <w:p>
      <w:pPr>
        <w:pStyle w:val="10"/>
        <w:numPr>
          <w:ilvl w:val="0"/>
          <w:numId w:val="2"/>
        </w:numPr>
        <w:spacing w:before="156" w:beforeLines="50" w:after="0" w:line="360" w:lineRule="auto"/>
        <w:rPr>
          <w:rFonts w:hint="eastAsia" w:ascii="仿宋_GB2312" w:hAnsi="仿宋_GB2312" w:eastAsia="仿宋_GB2312" w:cs="仿宋_GB2312"/>
          <w:b/>
          <w:bCs w:val="0"/>
          <w:lang w:val="en-US" w:eastAsia="zh-CN"/>
        </w:rPr>
      </w:pPr>
      <w:r>
        <w:rPr>
          <w:rFonts w:hint="eastAsia" w:ascii="仿宋_GB2312" w:hAnsi="仿宋_GB2312" w:eastAsia="仿宋_GB2312" w:cs="仿宋_GB2312"/>
          <w:b/>
          <w:bCs w:val="0"/>
          <w:lang w:val="en-US" w:eastAsia="zh-CN"/>
        </w:rPr>
        <w:t>声环境功能区划分方案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rPr>
        <w:t>本次声功能区划范围为</w:t>
      </w:r>
      <w:r>
        <w:rPr>
          <w:rFonts w:hint="default" w:ascii="仿宋_GB2312" w:hAnsi="仿宋_GB2312" w:eastAsia="仿宋_GB2312" w:cs="仿宋_GB2312"/>
          <w:i w:val="0"/>
          <w:caps w:val="0"/>
          <w:color w:val="191919"/>
          <w:spacing w:val="0"/>
          <w:sz w:val="28"/>
          <w:szCs w:val="28"/>
          <w:shd w:val="clear" w:color="auto" w:fill="FFFFFF"/>
          <w:lang w:eastAsia="zh-CN"/>
        </w:rPr>
        <w:t>神池县中心建成区，</w:t>
      </w:r>
      <w:r>
        <w:rPr>
          <w:rFonts w:hint="default" w:ascii="仿宋_GB2312" w:hAnsi="仿宋_GB2312" w:eastAsia="仿宋_GB2312" w:cs="仿宋_GB2312"/>
          <w:i w:val="0"/>
          <w:caps w:val="0"/>
          <w:color w:val="191919"/>
          <w:spacing w:val="0"/>
          <w:sz w:val="28"/>
          <w:szCs w:val="28"/>
          <w:shd w:val="clear" w:color="auto" w:fill="FFFFFF"/>
        </w:rPr>
        <w:t>总面积</w:t>
      </w:r>
      <w:r>
        <w:rPr>
          <w:rFonts w:hint="default" w:ascii="仿宋_GB2312" w:hAnsi="仿宋_GB2312" w:eastAsia="仿宋_GB2312" w:cs="仿宋_GB2312"/>
          <w:i w:val="0"/>
          <w:caps w:val="0"/>
          <w:color w:val="191919"/>
          <w:spacing w:val="0"/>
          <w:sz w:val="28"/>
          <w:szCs w:val="28"/>
          <w:shd w:val="clear" w:color="auto" w:fill="FFFFFF"/>
          <w:lang w:eastAsia="zh-CN"/>
        </w:rPr>
        <w:t>为</w:t>
      </w:r>
      <w:r>
        <w:rPr>
          <w:rFonts w:hint="default" w:ascii="仿宋_GB2312" w:hAnsi="仿宋_GB2312" w:eastAsia="仿宋_GB2312" w:cs="仿宋_GB2312"/>
          <w:i w:val="0"/>
          <w:caps w:val="0"/>
          <w:color w:val="191919"/>
          <w:spacing w:val="0"/>
          <w:sz w:val="28"/>
          <w:szCs w:val="28"/>
          <w:shd w:val="clear" w:color="auto" w:fill="FFFFFF"/>
          <w:lang w:val="en-US" w:eastAsia="zh-CN"/>
        </w:rPr>
        <w:t>6.32</w:t>
      </w:r>
      <w:r>
        <w:rPr>
          <w:rFonts w:hint="default" w:ascii="仿宋_GB2312" w:hAnsi="仿宋_GB2312" w:eastAsia="仿宋_GB2312" w:cs="仿宋_GB2312"/>
          <w:i w:val="0"/>
          <w:caps w:val="0"/>
          <w:color w:val="191919"/>
          <w:spacing w:val="0"/>
          <w:sz w:val="28"/>
          <w:szCs w:val="28"/>
          <w:shd w:val="clear" w:color="auto" w:fill="FFFFFF"/>
        </w:rPr>
        <w:t>km</w:t>
      </w:r>
      <w:r>
        <w:rPr>
          <w:rFonts w:hint="default" w:ascii="仿宋_GB2312" w:hAnsi="仿宋_GB2312" w:eastAsia="仿宋_GB2312" w:cs="仿宋_GB2312"/>
          <w:i w:val="0"/>
          <w:caps w:val="0"/>
          <w:color w:val="191919"/>
          <w:spacing w:val="0"/>
          <w:sz w:val="28"/>
          <w:szCs w:val="28"/>
          <w:shd w:val="clear" w:color="auto" w:fill="FFFFFF"/>
          <w:vertAlign w:val="superscript"/>
        </w:rPr>
        <w:t>2</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eastAsia" w:ascii="仿宋_GB2312" w:hAnsi="仿宋_GB2312" w:eastAsia="仿宋_GB2312" w:cs="仿宋_GB2312"/>
          <w:i w:val="0"/>
          <w:caps w:val="0"/>
          <w:color w:val="191919"/>
          <w:spacing w:val="0"/>
          <w:kern w:val="2"/>
          <w:sz w:val="28"/>
          <w:szCs w:val="28"/>
          <w:shd w:val="clear" w:color="auto" w:fill="FFFFFF"/>
          <w:lang w:val="en-US" w:eastAsia="zh-CN" w:bidi="ar-SA"/>
        </w:rPr>
        <w:t>神池县不存在康复疗养区，故不进行0类声环境功能区划分；中心建成区内无工业和物流仓储园区，虽存在零星物流仓储、工业等，但是属于Ⅱ类用地占地率小于70%的混合用地区域，故不进行3类声环境功能区划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本次划分将</w:t>
      </w:r>
      <w:r>
        <w:rPr>
          <w:rFonts w:hint="default" w:ascii="仿宋_GB2312" w:hAnsi="仿宋_GB2312" w:eastAsia="仿宋_GB2312" w:cs="仿宋_GB2312"/>
          <w:i w:val="0"/>
          <w:caps w:val="0"/>
          <w:color w:val="191919"/>
          <w:spacing w:val="0"/>
          <w:sz w:val="28"/>
          <w:szCs w:val="28"/>
          <w:shd w:val="clear" w:color="auto" w:fill="FFFFFF"/>
          <w:lang w:eastAsia="zh-CN"/>
        </w:rPr>
        <w:t>神池县</w:t>
      </w:r>
      <w:r>
        <w:rPr>
          <w:rFonts w:hint="default" w:ascii="仿宋_GB2312" w:hAnsi="仿宋_GB2312" w:eastAsia="仿宋_GB2312" w:cs="仿宋_GB2312"/>
          <w:i w:val="0"/>
          <w:caps w:val="0"/>
          <w:color w:val="191919"/>
          <w:spacing w:val="0"/>
          <w:sz w:val="28"/>
          <w:szCs w:val="28"/>
          <w:shd w:val="clear" w:color="auto" w:fill="FFFFFF"/>
        </w:rPr>
        <w:t>规划区划分为</w:t>
      </w:r>
      <w:r>
        <w:rPr>
          <w:rFonts w:hint="eastAsia"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rPr>
        <w:t>类声环境功能适用区域。其中1类区</w:t>
      </w:r>
      <w:r>
        <w:rPr>
          <w:rFonts w:hint="default"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rPr>
        <w:t>个，2类区</w:t>
      </w:r>
      <w:r>
        <w:rPr>
          <w:rFonts w:hint="default"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rPr>
        <w:t>个</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default" w:ascii="仿宋_GB2312" w:hAnsi="仿宋_GB2312" w:eastAsia="仿宋_GB2312" w:cs="仿宋_GB2312"/>
          <w:i w:val="0"/>
          <w:caps w:val="0"/>
          <w:color w:val="191919"/>
          <w:spacing w:val="0"/>
          <w:sz w:val="28"/>
          <w:szCs w:val="28"/>
          <w:shd w:val="clear" w:color="auto" w:fill="FFFFFF"/>
        </w:rPr>
        <w:t>沿城市</w:t>
      </w:r>
      <w:r>
        <w:rPr>
          <w:rFonts w:hint="default" w:ascii="仿宋_GB2312" w:hAnsi="仿宋_GB2312" w:eastAsia="仿宋_GB2312" w:cs="仿宋_GB2312"/>
          <w:i w:val="0"/>
          <w:caps w:val="0"/>
          <w:color w:val="191919"/>
          <w:spacing w:val="0"/>
          <w:sz w:val="28"/>
          <w:szCs w:val="28"/>
          <w:shd w:val="clear" w:color="auto" w:fill="FFFFFF"/>
          <w:lang w:eastAsia="zh-CN"/>
        </w:rPr>
        <w:t>主次干道及快速路</w:t>
      </w:r>
      <w:r>
        <w:rPr>
          <w:rFonts w:hint="default" w:ascii="仿宋_GB2312" w:hAnsi="仿宋_GB2312" w:eastAsia="仿宋_GB2312" w:cs="仿宋_GB2312"/>
          <w:i w:val="0"/>
          <w:caps w:val="0"/>
          <w:color w:val="191919"/>
          <w:spacing w:val="0"/>
          <w:sz w:val="28"/>
          <w:szCs w:val="28"/>
          <w:shd w:val="clear" w:color="auto" w:fill="FFFFFF"/>
        </w:rPr>
        <w:t>两侧为4</w:t>
      </w:r>
      <w:r>
        <w:rPr>
          <w:rFonts w:hint="default" w:ascii="仿宋_GB2312" w:hAnsi="仿宋_GB2312" w:eastAsia="仿宋_GB2312" w:cs="仿宋_GB2312"/>
          <w:i w:val="0"/>
          <w:caps w:val="0"/>
          <w:color w:val="191919"/>
          <w:spacing w:val="0"/>
          <w:sz w:val="28"/>
          <w:szCs w:val="28"/>
          <w:shd w:val="clear" w:color="auto" w:fill="FFFFFF"/>
          <w:lang w:val="en-US" w:eastAsia="zh-CN"/>
        </w:rPr>
        <w:t>a</w:t>
      </w:r>
      <w:r>
        <w:rPr>
          <w:rFonts w:hint="default" w:ascii="仿宋_GB2312" w:hAnsi="仿宋_GB2312" w:eastAsia="仿宋_GB2312" w:cs="仿宋_GB2312"/>
          <w:i w:val="0"/>
          <w:caps w:val="0"/>
          <w:color w:val="191919"/>
          <w:spacing w:val="0"/>
          <w:sz w:val="28"/>
          <w:szCs w:val="28"/>
          <w:shd w:val="clear" w:color="auto" w:fill="FFFFFF"/>
        </w:rPr>
        <w:t>类区</w:t>
      </w:r>
      <w:r>
        <w:rPr>
          <w:rFonts w:hint="default" w:ascii="仿宋_GB2312" w:hAnsi="仿宋_GB2312" w:eastAsia="仿宋_GB2312" w:cs="仿宋_GB2312"/>
          <w:i w:val="0"/>
          <w:caps w:val="0"/>
          <w:color w:val="191919"/>
          <w:spacing w:val="0"/>
          <w:sz w:val="28"/>
          <w:szCs w:val="28"/>
          <w:shd w:val="clear" w:color="auto" w:fill="FFFFFF"/>
          <w:lang w:eastAsia="zh-CN"/>
        </w:rPr>
        <w:t>，铁路两侧为</w:t>
      </w:r>
      <w:r>
        <w:rPr>
          <w:rFonts w:hint="default" w:ascii="仿宋_GB2312" w:hAnsi="仿宋_GB2312" w:eastAsia="仿宋_GB2312" w:cs="仿宋_GB2312"/>
          <w:i w:val="0"/>
          <w:caps w:val="0"/>
          <w:color w:val="191919"/>
          <w:spacing w:val="0"/>
          <w:sz w:val="28"/>
          <w:szCs w:val="28"/>
          <w:shd w:val="clear" w:color="auto" w:fill="FFFFFF"/>
          <w:lang w:val="en-US" w:eastAsia="zh-CN"/>
        </w:rPr>
        <w:t>4b类区</w:t>
      </w:r>
      <w:r>
        <w:rPr>
          <w:rFonts w:hint="default" w:ascii="仿宋_GB2312" w:hAnsi="仿宋_GB2312" w:eastAsia="仿宋_GB2312" w:cs="仿宋_GB2312"/>
          <w:i w:val="0"/>
          <w:caps w:val="0"/>
          <w:color w:val="191919"/>
          <w:spacing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lang w:eastAsia="zh-CN"/>
        </w:rPr>
        <w:t>①</w:t>
      </w:r>
      <w:r>
        <w:rPr>
          <w:rFonts w:hint="default" w:ascii="仿宋_GB2312" w:hAnsi="仿宋_GB2312" w:eastAsia="仿宋_GB2312" w:cs="仿宋_GB2312"/>
          <w:i w:val="0"/>
          <w:caps w:val="0"/>
          <w:color w:val="191919"/>
          <w:spacing w:val="0"/>
          <w:sz w:val="28"/>
          <w:szCs w:val="28"/>
          <w:shd w:val="clear" w:color="auto" w:fill="FFFFFF"/>
        </w:rPr>
        <w:t>1类声环境功能适用区域  执行标准45dB(A)</w:t>
      </w:r>
      <w:r>
        <w:rPr>
          <w:rFonts w:hint="default"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rPr>
        <w:t>55dB(A)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1-I 城北旧城居住片区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区划范围为东至龙泉北路-神池县气象局以西；南至北城东、西街；西至水泥厂路；北至学府街以北300米，区域总面积0.94km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1-II 东城龙泉路东片区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区划范围为东至温岭路-温岭村；南至崞水东街；西至龙泉路；北至神池县公安消防大队，区域总面积1.97km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1-III旧城西部居住片区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区划范围为东至旧堡南路；南至神池南站站场以北；西至西海子；北至北城西街，区域总面积0.74km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lang w:eastAsia="zh-CN"/>
        </w:rPr>
        <w:t>②</w:t>
      </w:r>
      <w:r>
        <w:rPr>
          <w:rFonts w:hint="default" w:ascii="仿宋_GB2312" w:hAnsi="仿宋_GB2312" w:eastAsia="仿宋_GB2312" w:cs="仿宋_GB2312"/>
          <w:i w:val="0"/>
          <w:caps w:val="0"/>
          <w:color w:val="191919"/>
          <w:spacing w:val="0"/>
          <w:sz w:val="28"/>
          <w:szCs w:val="28"/>
          <w:shd w:val="clear" w:color="auto" w:fill="FFFFFF"/>
        </w:rPr>
        <w:t>2类声环境功能适用区域  执行标准</w:t>
      </w:r>
      <w:r>
        <w:rPr>
          <w:rFonts w:hint="default" w:ascii="仿宋_GB2312" w:hAnsi="仿宋_GB2312" w:eastAsia="仿宋_GB2312" w:cs="仿宋_GB2312"/>
          <w:i w:val="0"/>
          <w:caps w:val="0"/>
          <w:color w:val="191919"/>
          <w:spacing w:val="0"/>
          <w:sz w:val="28"/>
          <w:szCs w:val="28"/>
          <w:shd w:val="clear" w:color="auto" w:fill="FFFFFF"/>
          <w:lang w:val="en-US" w:eastAsia="zh-CN"/>
        </w:rPr>
        <w:t>5</w:t>
      </w:r>
      <w:r>
        <w:rPr>
          <w:rFonts w:hint="default" w:ascii="仿宋_GB2312" w:hAnsi="仿宋_GB2312" w:eastAsia="仿宋_GB2312" w:cs="仿宋_GB2312"/>
          <w:i w:val="0"/>
          <w:caps w:val="0"/>
          <w:color w:val="191919"/>
          <w:spacing w:val="0"/>
          <w:sz w:val="28"/>
          <w:szCs w:val="28"/>
          <w:shd w:val="clear" w:color="auto" w:fill="FFFFFF"/>
        </w:rPr>
        <w:t>0dB(A)</w:t>
      </w:r>
      <w:r>
        <w:rPr>
          <w:rFonts w:hint="default" w:ascii="仿宋_GB2312" w:hAnsi="仿宋_GB2312" w:eastAsia="仿宋_GB2312" w:cs="仿宋_GB2312"/>
          <w:i w:val="0"/>
          <w:caps w:val="0"/>
          <w:color w:val="191919"/>
          <w:spacing w:val="0"/>
          <w:sz w:val="28"/>
          <w:szCs w:val="28"/>
          <w:shd w:val="clear" w:color="auto" w:fill="FFFFFF"/>
          <w:lang w:val="en-US" w:eastAsia="zh-CN"/>
        </w:rPr>
        <w:t>/6</w:t>
      </w:r>
      <w:r>
        <w:rPr>
          <w:rFonts w:hint="default" w:ascii="仿宋_GB2312" w:hAnsi="仿宋_GB2312" w:eastAsia="仿宋_GB2312" w:cs="仿宋_GB2312"/>
          <w:i w:val="0"/>
          <w:caps w:val="0"/>
          <w:color w:val="191919"/>
          <w:spacing w:val="0"/>
          <w:sz w:val="28"/>
          <w:szCs w:val="28"/>
          <w:shd w:val="clear" w:color="auto" w:fill="FFFFFF"/>
        </w:rPr>
        <w:t>0dB(A)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2-I 旧城商业中心-铁路片区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区划范围为东至龙泉路；南至神朔线以北；西至旧堡南路-食品公司路-南瓦窑路；北至北城东、西街，区域总面积1.51km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2-II 城西商贸物流片区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区划范围为东至桂龙南路；南至宁岢岚线；西至神池县江苏彩钢；北至和尚峰街，区域总面积0.50km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2-Ⅲ 小够儿涧村-馨乐苑片区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区划范围为东至生物质发电厂东侧；南至小够儿涧村；西至温岭路；北至神池县益源供热公司，区域总面积0.22km</w:t>
      </w:r>
      <w:r>
        <w:rPr>
          <w:rFonts w:hint="default" w:ascii="仿宋_GB2312" w:hAnsi="仿宋_GB2312" w:eastAsia="仿宋_GB2312" w:cs="仿宋_GB2312"/>
          <w:i w:val="0"/>
          <w:caps w:val="0"/>
          <w:color w:val="191919"/>
          <w:spacing w:val="0"/>
          <w:sz w:val="28"/>
          <w:szCs w:val="28"/>
          <w:shd w:val="clear" w:color="auto" w:fill="FFFFFF"/>
          <w:vertAlign w:val="superscript"/>
          <w:lang w:val="en-US" w:eastAsia="zh-CN"/>
        </w:rPr>
        <w:t>2</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eastAsia="zh-CN"/>
        </w:rPr>
        <w:t>③</w:t>
      </w:r>
      <w:r>
        <w:rPr>
          <w:rFonts w:hint="eastAsia" w:ascii="仿宋_GB2312" w:hAnsi="仿宋_GB2312" w:eastAsia="仿宋_GB2312" w:cs="仿宋_GB2312"/>
          <w:i w:val="0"/>
          <w:caps w:val="0"/>
          <w:color w:val="191919"/>
          <w:spacing w:val="0"/>
          <w:sz w:val="28"/>
          <w:szCs w:val="28"/>
          <w:shd w:val="clear" w:color="auto" w:fill="FFFFFF"/>
          <w:lang w:val="en-US" w:eastAsia="zh-CN"/>
        </w:rPr>
        <w:t>4类</w:t>
      </w:r>
      <w:r>
        <w:rPr>
          <w:rFonts w:hint="default" w:ascii="仿宋_GB2312" w:hAnsi="仿宋_GB2312" w:eastAsia="仿宋_GB2312" w:cs="仿宋_GB2312"/>
          <w:i w:val="0"/>
          <w:caps w:val="0"/>
          <w:color w:val="191919"/>
          <w:spacing w:val="0"/>
          <w:sz w:val="28"/>
          <w:szCs w:val="28"/>
          <w:shd w:val="clear" w:color="auto" w:fill="FFFFFF"/>
        </w:rPr>
        <w:t>声环境功能区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4</w:t>
      </w:r>
      <w:r>
        <w:rPr>
          <w:rFonts w:hint="default" w:ascii="仿宋_GB2312" w:hAnsi="仿宋_GB2312" w:eastAsia="仿宋_GB2312" w:cs="仿宋_GB2312"/>
          <w:i w:val="0"/>
          <w:caps w:val="0"/>
          <w:color w:val="191919"/>
          <w:spacing w:val="0"/>
          <w:sz w:val="28"/>
          <w:szCs w:val="28"/>
          <w:shd w:val="clear" w:color="auto" w:fill="FFFFFF"/>
          <w:lang w:val="en-US" w:eastAsia="zh-CN"/>
        </w:rPr>
        <w:t>a</w:t>
      </w:r>
      <w:r>
        <w:rPr>
          <w:rFonts w:hint="default" w:ascii="仿宋_GB2312" w:hAnsi="仿宋_GB2312" w:eastAsia="仿宋_GB2312" w:cs="仿宋_GB2312"/>
          <w:i w:val="0"/>
          <w:caps w:val="0"/>
          <w:color w:val="191919"/>
          <w:spacing w:val="0"/>
          <w:sz w:val="28"/>
          <w:szCs w:val="28"/>
          <w:shd w:val="clear" w:color="auto" w:fill="FFFFFF"/>
        </w:rPr>
        <w:t>类声环境功能适用区域  执行标准55dB(A)</w:t>
      </w:r>
      <w:r>
        <w:rPr>
          <w:rFonts w:hint="default"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rPr>
        <w:t>70dB(A)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rPr>
        <w:t>以城市主干道</w:t>
      </w:r>
      <w:r>
        <w:rPr>
          <w:rFonts w:hint="default" w:ascii="仿宋_GB2312" w:hAnsi="仿宋_GB2312" w:eastAsia="仿宋_GB2312" w:cs="仿宋_GB2312"/>
          <w:i w:val="0"/>
          <w:caps w:val="0"/>
          <w:color w:val="191919"/>
          <w:spacing w:val="0"/>
          <w:sz w:val="28"/>
          <w:szCs w:val="28"/>
          <w:shd w:val="clear" w:color="auto" w:fill="FFFFFF"/>
          <w:lang w:eastAsia="zh-CN"/>
        </w:rPr>
        <w:t>、次干道、快速路</w:t>
      </w:r>
      <w:r>
        <w:rPr>
          <w:rFonts w:hint="default" w:ascii="仿宋_GB2312" w:hAnsi="仿宋_GB2312" w:eastAsia="仿宋_GB2312" w:cs="仿宋_GB2312"/>
          <w:i w:val="0"/>
          <w:caps w:val="0"/>
          <w:color w:val="191919"/>
          <w:spacing w:val="0"/>
          <w:sz w:val="28"/>
          <w:szCs w:val="28"/>
          <w:shd w:val="clear" w:color="auto" w:fill="FFFFFF"/>
        </w:rPr>
        <w:t>一定距离内的区域划为4a类声环境功能区域</w:t>
      </w:r>
      <w:r>
        <w:rPr>
          <w:rFonts w:hint="default" w:ascii="仿宋_GB2312" w:hAnsi="仿宋_GB2312" w:eastAsia="仿宋_GB2312" w:cs="仿宋_GB2312"/>
          <w:i w:val="0"/>
          <w:caps w:val="0"/>
          <w:color w:val="191919"/>
          <w:spacing w:val="0"/>
          <w:sz w:val="28"/>
          <w:szCs w:val="28"/>
          <w:shd w:val="clear" w:color="auto" w:fill="FFFFFF"/>
          <w:lang w:eastAsia="zh-CN"/>
        </w:rPr>
        <w:t>，主要涉及</w:t>
      </w:r>
      <w:r>
        <w:rPr>
          <w:rFonts w:hint="default" w:ascii="仿宋_GB2312" w:hAnsi="仿宋_GB2312" w:eastAsia="仿宋_GB2312" w:cs="仿宋_GB2312"/>
          <w:i w:val="0"/>
          <w:caps w:val="0"/>
          <w:color w:val="191919"/>
          <w:spacing w:val="0"/>
          <w:sz w:val="28"/>
          <w:szCs w:val="28"/>
          <w:shd w:val="clear" w:color="auto" w:fill="FFFFFF"/>
        </w:rPr>
        <w:t>城区内的主要交通干线</w:t>
      </w:r>
      <w:r>
        <w:rPr>
          <w:rFonts w:hint="default" w:ascii="仿宋_GB2312" w:hAnsi="仿宋_GB2312" w:eastAsia="仿宋_GB2312" w:cs="仿宋_GB2312"/>
          <w:i w:val="0"/>
          <w:caps w:val="0"/>
          <w:color w:val="191919"/>
          <w:spacing w:val="0"/>
          <w:sz w:val="28"/>
          <w:szCs w:val="28"/>
          <w:shd w:val="clear" w:color="auto" w:fill="FFFFFF"/>
          <w:lang w:eastAsia="zh-CN"/>
        </w:rPr>
        <w:t>有</w:t>
      </w:r>
      <w:r>
        <w:rPr>
          <w:rFonts w:hint="default" w:ascii="仿宋_GB2312" w:hAnsi="仿宋_GB2312" w:eastAsia="仿宋_GB2312" w:cs="仿宋_GB2312"/>
          <w:i w:val="0"/>
          <w:caps w:val="0"/>
          <w:color w:val="191919"/>
          <w:spacing w:val="0"/>
          <w:sz w:val="28"/>
          <w:szCs w:val="28"/>
          <w:shd w:val="clear" w:color="auto" w:fill="FFFFFF"/>
          <w:lang w:val="en-US" w:eastAsia="zh-CN"/>
        </w:rPr>
        <w:t>崞水街、南关街、神府街、龙泉路、幸福街、东七道街、西七道街、温岭路、海龙路、开发北路、学府街、桂龙路、利民路</w:t>
      </w:r>
      <w:r>
        <w:rPr>
          <w:rFonts w:hint="default" w:ascii="仿宋_GB2312" w:hAnsi="仿宋_GB2312" w:eastAsia="仿宋_GB2312" w:cs="仿宋_GB2312"/>
          <w:i w:val="0"/>
          <w:caps w:val="0"/>
          <w:color w:val="191919"/>
          <w:spacing w:val="0"/>
          <w:sz w:val="28"/>
          <w:szCs w:val="28"/>
          <w:shd w:val="clear" w:color="auto" w:fill="FFFFFF"/>
          <w:lang w:eastAsia="zh-CN"/>
        </w:rPr>
        <w:t>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4a类区</w:t>
      </w:r>
      <w:r>
        <w:rPr>
          <w:rFonts w:hint="default" w:ascii="仿宋_GB2312" w:hAnsi="仿宋_GB2312" w:eastAsia="仿宋_GB2312" w:cs="仿宋_GB2312"/>
          <w:i w:val="0"/>
          <w:caps w:val="0"/>
          <w:color w:val="191919"/>
          <w:spacing w:val="0"/>
          <w:sz w:val="28"/>
          <w:szCs w:val="28"/>
          <w:shd w:val="clear" w:color="auto" w:fill="FFFFFF"/>
        </w:rPr>
        <w:t>距离的确定方法如下：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相邻区域为1 类声环境功能区域，距离为50m±5m；相邻区域为2 类声环境功能区域，距离为35m±5m</w:t>
      </w:r>
      <w:r>
        <w:rPr>
          <w:rFonts w:hint="default"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eastAsia="zh-CN"/>
        </w:rPr>
        <w:t>相邻区域为</w:t>
      </w:r>
      <w:r>
        <w:rPr>
          <w:rFonts w:hint="default"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lang w:eastAsia="zh-CN"/>
        </w:rPr>
        <w:t xml:space="preserve"> 类声环境功能区域，距离为</w:t>
      </w:r>
      <w:r>
        <w:rPr>
          <w:rFonts w:hint="default" w:ascii="仿宋_GB2312" w:hAnsi="仿宋_GB2312" w:eastAsia="仿宋_GB2312" w:cs="仿宋_GB2312"/>
          <w:i w:val="0"/>
          <w:caps w:val="0"/>
          <w:color w:val="191919"/>
          <w:spacing w:val="0"/>
          <w:sz w:val="28"/>
          <w:szCs w:val="28"/>
          <w:shd w:val="clear" w:color="auto" w:fill="FFFFFF"/>
          <w:lang w:val="en-US" w:eastAsia="zh-CN"/>
        </w:rPr>
        <w:t>20</w:t>
      </w:r>
      <w:r>
        <w:rPr>
          <w:rFonts w:hint="default" w:ascii="仿宋_GB2312" w:hAnsi="仿宋_GB2312" w:eastAsia="仿宋_GB2312" w:cs="仿宋_GB2312"/>
          <w:i w:val="0"/>
          <w:caps w:val="0"/>
          <w:color w:val="191919"/>
          <w:spacing w:val="0"/>
          <w:sz w:val="28"/>
          <w:szCs w:val="28"/>
          <w:shd w:val="clear" w:color="auto" w:fill="FFFFFF"/>
          <w:lang w:eastAsia="zh-CN"/>
        </w:rPr>
        <w:t>m±5m。</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rPr>
        <w:t>当临街建筑高于三层楼房以上（含三层）时，将临街建筑面向交通干线一侧至交通干线边界线的区域定为4a类声环境功能区</w:t>
      </w:r>
      <w:r>
        <w:rPr>
          <w:rFonts w:hint="default" w:ascii="仿宋_GB2312" w:hAnsi="仿宋_GB2312" w:eastAsia="仿宋_GB2312" w:cs="仿宋_GB2312"/>
          <w:i w:val="0"/>
          <w:caps w:val="0"/>
          <w:color w:val="191919"/>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4</w:t>
      </w:r>
      <w:r>
        <w:rPr>
          <w:rFonts w:hint="default" w:ascii="仿宋_GB2312" w:hAnsi="仿宋_GB2312" w:eastAsia="仿宋_GB2312" w:cs="仿宋_GB2312"/>
          <w:i w:val="0"/>
          <w:caps w:val="0"/>
          <w:color w:val="191919"/>
          <w:spacing w:val="0"/>
          <w:sz w:val="28"/>
          <w:szCs w:val="28"/>
          <w:shd w:val="clear" w:color="auto" w:fill="FFFFFF"/>
          <w:lang w:val="en-US" w:eastAsia="zh-CN"/>
        </w:rPr>
        <w:t>b</w:t>
      </w:r>
      <w:r>
        <w:rPr>
          <w:rFonts w:hint="default" w:ascii="仿宋_GB2312" w:hAnsi="仿宋_GB2312" w:eastAsia="仿宋_GB2312" w:cs="仿宋_GB2312"/>
          <w:i w:val="0"/>
          <w:caps w:val="0"/>
          <w:color w:val="191919"/>
          <w:spacing w:val="0"/>
          <w:sz w:val="28"/>
          <w:szCs w:val="28"/>
          <w:shd w:val="clear" w:color="auto" w:fill="FFFFFF"/>
        </w:rPr>
        <w:t>类声环境功能适用区域  执行标准</w:t>
      </w:r>
      <w:r>
        <w:rPr>
          <w:rFonts w:hint="default" w:ascii="仿宋_GB2312" w:hAnsi="仿宋_GB2312" w:eastAsia="仿宋_GB2312" w:cs="仿宋_GB2312"/>
          <w:i w:val="0"/>
          <w:caps w:val="0"/>
          <w:color w:val="191919"/>
          <w:spacing w:val="0"/>
          <w:sz w:val="28"/>
          <w:szCs w:val="28"/>
          <w:shd w:val="clear" w:color="auto" w:fill="FFFFFF"/>
          <w:lang w:val="en-US" w:eastAsia="zh-CN"/>
        </w:rPr>
        <w:t>60</w:t>
      </w:r>
      <w:r>
        <w:rPr>
          <w:rFonts w:hint="default" w:ascii="仿宋_GB2312" w:hAnsi="仿宋_GB2312" w:eastAsia="仿宋_GB2312" w:cs="仿宋_GB2312"/>
          <w:i w:val="0"/>
          <w:caps w:val="0"/>
          <w:color w:val="191919"/>
          <w:spacing w:val="0"/>
          <w:sz w:val="28"/>
          <w:szCs w:val="28"/>
          <w:shd w:val="clear" w:color="auto" w:fill="FFFFFF"/>
        </w:rPr>
        <w:t>dB(A)</w:t>
      </w:r>
      <w:r>
        <w:rPr>
          <w:rFonts w:hint="default"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rPr>
        <w:t>70dB(A)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宁岢线、神朔线等</w:t>
      </w:r>
      <w:r>
        <w:rPr>
          <w:rFonts w:hint="default" w:ascii="仿宋_GB2312" w:hAnsi="仿宋_GB2312" w:eastAsia="仿宋_GB2312" w:cs="仿宋_GB2312"/>
          <w:i w:val="0"/>
          <w:caps w:val="0"/>
          <w:color w:val="191919"/>
          <w:spacing w:val="0"/>
          <w:sz w:val="28"/>
          <w:szCs w:val="28"/>
          <w:shd w:val="clear" w:color="auto" w:fill="FFFFFF"/>
        </w:rPr>
        <w:t>专用线</w:t>
      </w:r>
      <w:r>
        <w:rPr>
          <w:rFonts w:hint="default" w:ascii="仿宋_GB2312" w:hAnsi="仿宋_GB2312" w:eastAsia="仿宋_GB2312" w:cs="仿宋_GB2312"/>
          <w:i w:val="0"/>
          <w:caps w:val="0"/>
          <w:color w:val="191919"/>
          <w:spacing w:val="0"/>
          <w:sz w:val="28"/>
          <w:szCs w:val="28"/>
          <w:shd w:val="clear" w:color="auto" w:fill="FFFFFF"/>
          <w:lang w:eastAsia="zh-CN"/>
        </w:rPr>
        <w:t>及</w:t>
      </w:r>
      <w:r>
        <w:rPr>
          <w:rFonts w:hint="default" w:ascii="仿宋_GB2312" w:hAnsi="仿宋_GB2312" w:eastAsia="仿宋_GB2312" w:cs="仿宋_GB2312"/>
          <w:i w:val="0"/>
          <w:caps w:val="0"/>
          <w:color w:val="191919"/>
          <w:spacing w:val="0"/>
          <w:sz w:val="28"/>
          <w:szCs w:val="28"/>
          <w:shd w:val="clear" w:color="auto" w:fill="FFFFFF"/>
        </w:rPr>
        <w:t>干线之间的联络线</w:t>
      </w:r>
      <w:r>
        <w:rPr>
          <w:rFonts w:hint="default" w:ascii="仿宋_GB2312" w:hAnsi="仿宋_GB2312" w:eastAsia="仿宋_GB2312" w:cs="仿宋_GB2312"/>
          <w:i w:val="0"/>
          <w:caps w:val="0"/>
          <w:color w:val="191919"/>
          <w:spacing w:val="0"/>
          <w:sz w:val="28"/>
          <w:szCs w:val="28"/>
          <w:shd w:val="clear" w:color="auto" w:fill="FFFFFF"/>
          <w:lang w:eastAsia="zh-CN"/>
        </w:rPr>
        <w:t>两侧一定距离内区域为</w:t>
      </w:r>
      <w:r>
        <w:rPr>
          <w:rFonts w:hint="default" w:ascii="仿宋_GB2312" w:hAnsi="仿宋_GB2312" w:eastAsia="仿宋_GB2312" w:cs="仿宋_GB2312"/>
          <w:i w:val="0"/>
          <w:caps w:val="0"/>
          <w:color w:val="191919"/>
          <w:spacing w:val="0"/>
          <w:sz w:val="28"/>
          <w:szCs w:val="28"/>
          <w:shd w:val="clear" w:color="auto" w:fill="FFFFFF"/>
        </w:rPr>
        <w:t>4</w:t>
      </w:r>
      <w:r>
        <w:rPr>
          <w:rFonts w:hint="default" w:ascii="仿宋_GB2312" w:hAnsi="仿宋_GB2312" w:eastAsia="仿宋_GB2312" w:cs="仿宋_GB2312"/>
          <w:i w:val="0"/>
          <w:caps w:val="0"/>
          <w:color w:val="191919"/>
          <w:spacing w:val="0"/>
          <w:sz w:val="28"/>
          <w:szCs w:val="28"/>
          <w:shd w:val="clear" w:color="auto" w:fill="FFFFFF"/>
          <w:lang w:val="en-US" w:eastAsia="zh-CN"/>
        </w:rPr>
        <w:t>b</w:t>
      </w:r>
      <w:r>
        <w:rPr>
          <w:rFonts w:hint="default" w:ascii="仿宋_GB2312" w:hAnsi="仿宋_GB2312" w:eastAsia="仿宋_GB2312" w:cs="仿宋_GB2312"/>
          <w:i w:val="0"/>
          <w:caps w:val="0"/>
          <w:color w:val="191919"/>
          <w:spacing w:val="0"/>
          <w:sz w:val="28"/>
          <w:szCs w:val="28"/>
          <w:shd w:val="clear" w:color="auto" w:fill="FFFFFF"/>
        </w:rPr>
        <w:t>类声环境功能区域</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4b类区</w:t>
      </w:r>
      <w:r>
        <w:rPr>
          <w:rFonts w:hint="default" w:ascii="仿宋_GB2312" w:hAnsi="仿宋_GB2312" w:eastAsia="仿宋_GB2312" w:cs="仿宋_GB2312"/>
          <w:i w:val="0"/>
          <w:caps w:val="0"/>
          <w:color w:val="191919"/>
          <w:spacing w:val="0"/>
          <w:sz w:val="28"/>
          <w:szCs w:val="28"/>
          <w:shd w:val="clear" w:color="auto" w:fill="FFFFFF"/>
        </w:rPr>
        <w:t>距离的确定方法如下：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相邻区域为1 类声环境功能区域，距离为50m±5m；相邻区域为2 类声环境功能区域，距离为35m±5m</w:t>
      </w:r>
      <w:r>
        <w:rPr>
          <w:rFonts w:hint="default" w:ascii="仿宋_GB2312" w:hAnsi="仿宋_GB2312" w:eastAsia="仿宋_GB2312" w:cs="仿宋_GB2312"/>
          <w:i w:val="0"/>
          <w:caps w:val="0"/>
          <w:color w:val="191919"/>
          <w:spacing w:val="0"/>
          <w:sz w:val="28"/>
          <w:szCs w:val="28"/>
          <w:shd w:val="clear" w:color="auto" w:fill="FFFFFF"/>
          <w:lang w:val="en-US" w:eastAsia="zh-CN"/>
        </w:rPr>
        <w:t>；</w:t>
      </w:r>
      <w:r>
        <w:rPr>
          <w:rFonts w:hint="default" w:ascii="仿宋_GB2312" w:hAnsi="仿宋_GB2312" w:eastAsia="仿宋_GB2312" w:cs="仿宋_GB2312"/>
          <w:i w:val="0"/>
          <w:caps w:val="0"/>
          <w:color w:val="191919"/>
          <w:spacing w:val="0"/>
          <w:sz w:val="28"/>
          <w:szCs w:val="28"/>
          <w:shd w:val="clear" w:color="auto" w:fill="FFFFFF"/>
          <w:lang w:eastAsia="zh-CN"/>
        </w:rPr>
        <w:t>相邻区域为</w:t>
      </w:r>
      <w:r>
        <w:rPr>
          <w:rFonts w:hint="default"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lang w:eastAsia="zh-CN"/>
        </w:rPr>
        <w:t xml:space="preserve"> 类声环境功能区域，距离为</w:t>
      </w:r>
      <w:r>
        <w:rPr>
          <w:rFonts w:hint="default" w:ascii="仿宋_GB2312" w:hAnsi="仿宋_GB2312" w:eastAsia="仿宋_GB2312" w:cs="仿宋_GB2312"/>
          <w:i w:val="0"/>
          <w:caps w:val="0"/>
          <w:color w:val="191919"/>
          <w:spacing w:val="0"/>
          <w:sz w:val="28"/>
          <w:szCs w:val="28"/>
          <w:shd w:val="clear" w:color="auto" w:fill="FFFFFF"/>
          <w:lang w:val="en-US" w:eastAsia="zh-CN"/>
        </w:rPr>
        <w:t>20</w:t>
      </w:r>
      <w:r>
        <w:rPr>
          <w:rFonts w:hint="default" w:ascii="仿宋_GB2312" w:hAnsi="仿宋_GB2312" w:eastAsia="仿宋_GB2312" w:cs="仿宋_GB2312"/>
          <w:i w:val="0"/>
          <w:caps w:val="0"/>
          <w:color w:val="191919"/>
          <w:spacing w:val="0"/>
          <w:sz w:val="28"/>
          <w:szCs w:val="28"/>
          <w:shd w:val="clear" w:color="auto" w:fill="FFFFFF"/>
          <w:lang w:eastAsia="zh-CN"/>
        </w:rPr>
        <w:t>m±5m。</w:t>
      </w:r>
    </w:p>
    <w:p>
      <w:pPr>
        <w:pStyle w:val="11"/>
        <w:spacing w:line="360" w:lineRule="auto"/>
        <w:ind w:left="0" w:leftChars="0" w:firstLine="0" w:firstLineChars="0"/>
        <w:jc w:val="center"/>
        <w:rPr>
          <w:rFonts w:hint="eastAsia" w:ascii="仿宋" w:hAnsi="仿宋" w:eastAsia="仿宋" w:cs="仿宋"/>
          <w:b/>
          <w:bCs/>
          <w:lang w:val="en-US" w:eastAsia="zh-CN"/>
        </w:rPr>
      </w:pPr>
      <w:r>
        <w:rPr>
          <w:rFonts w:hint="eastAsia" w:ascii="仿宋" w:hAnsi="仿宋" w:eastAsia="仿宋" w:cs="仿宋"/>
          <w:b/>
          <w:bCs/>
          <w:lang w:val="en-US" w:eastAsia="zh-CN"/>
        </w:rPr>
        <w:t>表2</w:t>
      </w:r>
      <w:r>
        <w:rPr>
          <w:rFonts w:hint="eastAsia" w:ascii="仿宋" w:hAnsi="仿宋" w:eastAsia="仿宋" w:cs="仿宋"/>
          <w:b/>
          <w:bCs/>
          <w:color w:val="auto"/>
          <w:kern w:val="2"/>
          <w:sz w:val="24"/>
          <w:szCs w:val="24"/>
          <w:highlight w:val="none"/>
          <w:lang w:val="en-US" w:eastAsia="zh-CN" w:bidi="ar-SA"/>
        </w:rPr>
        <w:t>神池县城市区域声环境功能区调整结果表</w:t>
      </w:r>
    </w:p>
    <w:tbl>
      <w:tblPr>
        <w:tblStyle w:val="7"/>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902"/>
        <w:gridCol w:w="1763"/>
        <w:gridCol w:w="476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功能区</w:t>
            </w:r>
          </w:p>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类型</w:t>
            </w: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功能区编号</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功能区命名</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边界范围</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val="0"/>
                <w:bCs w:val="0"/>
                <w:color w:val="auto"/>
                <w:kern w:val="0"/>
                <w:sz w:val="21"/>
                <w:szCs w:val="21"/>
                <w:lang w:val="en-US" w:eastAsia="zh-CN" w:bidi="ar-SA"/>
              </w:rPr>
              <w:t>面积(km</w:t>
            </w:r>
            <w:r>
              <w:rPr>
                <w:rFonts w:hint="default" w:ascii="Times New Roman" w:hAnsi="Times New Roman" w:eastAsia="仿宋" w:cs="Times New Roman"/>
                <w:b w:val="0"/>
                <w:bCs w:val="0"/>
                <w:color w:val="auto"/>
                <w:kern w:val="0"/>
                <w:sz w:val="21"/>
                <w:szCs w:val="21"/>
                <w:vertAlign w:val="superscript"/>
                <w:lang w:val="en-US" w:eastAsia="zh-CN" w:bidi="ar-SA"/>
              </w:rPr>
              <w:t>2</w:t>
            </w:r>
            <w:r>
              <w:rPr>
                <w:rFonts w:hint="default" w:ascii="Times New Roman" w:hAnsi="Times New Roman" w:eastAsia="仿宋" w:cs="Times New Roman"/>
                <w:b w:val="0"/>
                <w:bCs w:val="0"/>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6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eastAsia" w:ascii="Times New Roman" w:hAnsi="Times New Roman" w:eastAsia="仿宋" w:cs="Times New Roman"/>
                <w:b w:val="0"/>
                <w:bCs w:val="0"/>
                <w:color w:val="auto"/>
                <w:kern w:val="0"/>
                <w:sz w:val="21"/>
                <w:szCs w:val="21"/>
                <w:lang w:val="en-US" w:eastAsia="zh-CN" w:bidi="ar-SA"/>
              </w:rPr>
              <w:t>0类区</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42" w:leftChars="-20" w:right="-42" w:rightChars="-20" w:firstLine="0" w:firstLineChars="0"/>
              <w:jc w:val="center"/>
              <w:textAlignment w:val="auto"/>
              <w:outlineLvl w:val="9"/>
              <w:rPr>
                <w:rFonts w:hint="default" w:ascii="Times New Roman" w:hAnsi="Times New Roman" w:eastAsia="仿宋" w:cs="Times New Roman"/>
                <w:b w:val="0"/>
                <w:bCs w:val="0"/>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blHeader/>
          <w:jc w:val="center"/>
        </w:trPr>
        <w:tc>
          <w:tcPr>
            <w:tcW w:w="760"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1类区</w:t>
            </w: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1-I</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城北旧城</w:t>
            </w:r>
          </w:p>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居住片区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东至龙泉北路-神池县气象局以西；南至北城东、西街；西至水泥厂路；北至学府街以北300米。包括：怡苑花园、神池县实验小学、神池县职业中学、神池县文体中心、和谐苑小区、龙泉苑等。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blHeader/>
          <w:jc w:val="center"/>
        </w:trPr>
        <w:tc>
          <w:tcPr>
            <w:tcW w:w="76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1-II</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东城龙泉路东</w:t>
            </w:r>
          </w:p>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温岭路-温岭村；南至崞水东街；西至龙泉路；北至神池县公安消防大队。包括：神池县政府、神池县人民医院、东关小学、人民广场、神府花园小区、馨乐苑移民区、神池县公安局、人民法院、温岭村、窑子上村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blHeader/>
          <w:jc w:val="center"/>
        </w:trPr>
        <w:tc>
          <w:tcPr>
            <w:tcW w:w="76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1-III</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旧城西部</w:t>
            </w:r>
          </w:p>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居住片区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东至旧堡南路；南至神池南站站场以北；西至西海子；北至北城西街。包括：荣昇苑小区、西关街村等。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760"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2类区</w:t>
            </w: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2-I</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旧城商业中心-铁路片区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东至龙泉路；南至神朔线以北；西至旧堡南路-食品公司路-南瓦窑路；北至北城东、西街。包括：民生市场、东关市场、神池三中、毛主席路居纪念馆、神池火车站、新城花园小区等。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76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2-II</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城西商贸物流</w:t>
            </w:r>
          </w:p>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东至桂龙南路；南至宁岢岚线；西至神池县江苏彩钢；北至和尚峰街。包括：神池汽车站、吕顺物流、晟源商砼、神池县石渣厂、21加油站等。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60"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p>
        </w:tc>
        <w:tc>
          <w:tcPr>
            <w:tcW w:w="9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2-Ⅲ</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小够儿涧村-馨乐苑片区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东至生物质发电厂东侧；南至小够儿涧村；西至温岭路；北至神池县益源供热公司。包括：小够儿涧村、益源供热公司、生物质发电厂、大理石加工厂馨乐苑东区等。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62" w:type="dxa"/>
            <w:gridSpan w:val="2"/>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eastAsia" w:ascii="Times New Roman" w:hAnsi="Times New Roman" w:eastAsia="仿宋" w:cs="Times New Roman"/>
                <w:color w:val="auto"/>
                <w:kern w:val="0"/>
                <w:sz w:val="21"/>
                <w:szCs w:val="21"/>
                <w:highlight w:val="none"/>
                <w:lang w:val="en-US" w:eastAsia="zh-CN" w:bidi="ar-SA"/>
              </w:rPr>
              <w:t>3类区</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eastAsia"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b/>
                <w:bCs/>
                <w:color w:val="auto"/>
                <w:kern w:val="0"/>
                <w:sz w:val="21"/>
                <w:szCs w:val="21"/>
                <w:highlight w:val="none"/>
                <w:lang w:val="en-US" w:eastAsia="zh-CN" w:bidi="ar-SA"/>
              </w:rPr>
              <w:t>--</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b/>
                <w:bCs/>
                <w:color w:val="auto"/>
                <w:kern w:val="0"/>
                <w:sz w:val="21"/>
                <w:szCs w:val="21"/>
                <w:highlight w:val="none"/>
                <w:lang w:val="en-US" w:eastAsia="zh-CN" w:bidi="ar-SA"/>
              </w:rPr>
              <w:t>--</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eastAsia"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b/>
                <w:bCs/>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62" w:type="dxa"/>
            <w:gridSpan w:val="2"/>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4</w:t>
            </w:r>
            <w:r>
              <w:rPr>
                <w:rFonts w:hint="eastAsia" w:ascii="Times New Roman" w:hAnsi="Times New Roman" w:eastAsia="仿宋" w:cs="Times New Roman"/>
                <w:color w:val="auto"/>
                <w:kern w:val="0"/>
                <w:sz w:val="21"/>
                <w:szCs w:val="21"/>
                <w:highlight w:val="none"/>
                <w:lang w:val="en-US" w:eastAsia="zh-CN" w:bidi="ar-SA"/>
              </w:rPr>
              <w:t>a</w:t>
            </w:r>
            <w:r>
              <w:rPr>
                <w:rFonts w:hint="default" w:ascii="Times New Roman" w:hAnsi="Times New Roman" w:eastAsia="仿宋" w:cs="Times New Roman"/>
                <w:color w:val="auto"/>
                <w:kern w:val="0"/>
                <w:sz w:val="21"/>
                <w:szCs w:val="21"/>
                <w:highlight w:val="none"/>
                <w:lang w:val="en-US" w:eastAsia="zh-CN" w:bidi="ar-SA"/>
              </w:rPr>
              <w:t>类区</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eastAsia" w:ascii="Times New Roman" w:hAnsi="Times New Roman" w:eastAsia="仿宋" w:cs="Times New Roman"/>
                <w:color w:val="auto"/>
                <w:kern w:val="0"/>
                <w:sz w:val="21"/>
                <w:szCs w:val="21"/>
                <w:highlight w:val="none"/>
                <w:lang w:val="en-US" w:eastAsia="zh-CN" w:bidi="ar-SA"/>
              </w:rPr>
              <w:t>交通道路两侧</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崞水街、南关街、神府街、龙泉路、幸福街、东七道街、西七道街、温岭路、海龙路、开发北路、学府街、桂龙路、利民路</w:t>
            </w:r>
            <w:r>
              <w:rPr>
                <w:rFonts w:hint="eastAsia" w:ascii="Times New Roman" w:hAnsi="Times New Roman" w:eastAsia="仿宋" w:cs="Times New Roman"/>
                <w:color w:val="auto"/>
                <w:kern w:val="0"/>
                <w:sz w:val="21"/>
                <w:szCs w:val="21"/>
                <w:highlight w:val="none"/>
                <w:lang w:val="en-US" w:eastAsia="zh-CN" w:bidi="ar-SA"/>
              </w:rPr>
              <w:t>等。</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eastAsia" w:ascii="Times New Roman" w:hAnsi="Times New Roman" w:eastAsia="仿宋" w:cs="Times New Roman"/>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62" w:type="dxa"/>
            <w:gridSpan w:val="2"/>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4b类区</w:t>
            </w:r>
          </w:p>
        </w:tc>
        <w:tc>
          <w:tcPr>
            <w:tcW w:w="176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神池南站站场</w:t>
            </w:r>
          </w:p>
        </w:tc>
        <w:tc>
          <w:tcPr>
            <w:tcW w:w="47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神池南站站场、神朔线。</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bidi="ar-SA"/>
              </w:rPr>
            </w:pPr>
            <w:r>
              <w:rPr>
                <w:rFonts w:hint="default" w:ascii="Times New Roman" w:hAnsi="Times New Roman" w:eastAsia="仿宋" w:cs="Times New Roman"/>
                <w:color w:val="auto"/>
                <w:kern w:val="0"/>
                <w:sz w:val="21"/>
                <w:szCs w:val="21"/>
                <w:highlight w:val="none"/>
                <w:lang w:val="en-US" w:eastAsia="zh-CN" w:bidi="ar-SA"/>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62" w:type="dxa"/>
            <w:gridSpan w:val="2"/>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b/>
                <w:bCs/>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合计</w:t>
            </w:r>
          </w:p>
        </w:tc>
        <w:tc>
          <w:tcPr>
            <w:tcW w:w="652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b/>
                <w:bCs/>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w:t>
            </w:r>
          </w:p>
        </w:tc>
        <w:tc>
          <w:tcPr>
            <w:tcW w:w="9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 w:leftChars="-10" w:right="-21" w:rightChars="-10" w:firstLine="0" w:firstLineChars="0"/>
              <w:jc w:val="center"/>
              <w:textAlignment w:val="auto"/>
              <w:outlineLvl w:val="9"/>
              <w:rPr>
                <w:rFonts w:hint="default" w:ascii="Times New Roman" w:hAnsi="Times New Roman" w:eastAsia="仿宋" w:cs="Times New Roman"/>
                <w:b/>
                <w:bCs/>
                <w:color w:val="auto"/>
                <w:kern w:val="0"/>
                <w:sz w:val="21"/>
                <w:szCs w:val="21"/>
                <w:lang w:val="en-US" w:eastAsia="zh-CN" w:bidi="ar-SA"/>
              </w:rPr>
            </w:pPr>
            <w:r>
              <w:rPr>
                <w:rFonts w:hint="default" w:ascii="Times New Roman" w:hAnsi="Times New Roman" w:eastAsia="仿宋" w:cs="Times New Roman"/>
                <w:b/>
                <w:bCs/>
                <w:color w:val="auto"/>
                <w:kern w:val="0"/>
                <w:sz w:val="21"/>
                <w:szCs w:val="21"/>
                <w:lang w:val="en-US" w:eastAsia="zh-CN" w:bidi="ar-SA"/>
              </w:rPr>
              <w:t>6.32</w:t>
            </w:r>
          </w:p>
        </w:tc>
      </w:tr>
    </w:tbl>
    <w:p>
      <w:pPr>
        <w:bidi w:val="0"/>
        <w:rPr>
          <w:rFonts w:hint="eastAsia"/>
          <w:lang w:val="en-US" w:eastAsia="zh-CN"/>
        </w:rPr>
      </w:pPr>
    </w:p>
    <w:p>
      <w:pPr>
        <w:pStyle w:val="10"/>
        <w:spacing w:before="156" w:beforeLines="50" w:after="0" w:line="360" w:lineRule="auto"/>
        <w:rPr>
          <w:rFonts w:hint="eastAsia" w:ascii="仿宋_GB2312" w:hAnsi="仿宋_GB2312" w:eastAsia="仿宋_GB2312" w:cs="仿宋_GB2312"/>
          <w:b/>
          <w:bCs w:val="0"/>
          <w:color w:val="000000"/>
        </w:rPr>
      </w:pPr>
      <w:bookmarkStart w:id="1" w:name="_Toc377080230"/>
      <w:r>
        <w:rPr>
          <w:rFonts w:hint="eastAsia" w:ascii="仿宋_GB2312" w:hAnsi="仿宋_GB2312" w:eastAsia="仿宋_GB2312" w:cs="仿宋_GB2312"/>
          <w:b/>
          <w:bCs w:val="0"/>
          <w:color w:val="000000"/>
          <w:lang w:val="en-US" w:eastAsia="zh-CN"/>
        </w:rPr>
        <w:t>4、</w:t>
      </w:r>
      <w:r>
        <w:rPr>
          <w:rFonts w:hint="eastAsia" w:ascii="仿宋_GB2312" w:hAnsi="仿宋_GB2312" w:eastAsia="仿宋_GB2312" w:cs="仿宋_GB2312"/>
          <w:b/>
          <w:bCs w:val="0"/>
          <w:color w:val="000000"/>
          <w:lang w:eastAsia="zh-CN"/>
        </w:rPr>
        <w:t>监督与</w:t>
      </w:r>
      <w:r>
        <w:rPr>
          <w:rFonts w:hint="eastAsia" w:ascii="仿宋_GB2312" w:hAnsi="仿宋_GB2312" w:eastAsia="仿宋_GB2312" w:cs="仿宋_GB2312"/>
          <w:b/>
          <w:bCs w:val="0"/>
          <w:color w:val="000000"/>
        </w:rPr>
        <w:t>管理</w:t>
      </w:r>
      <w:bookmarkEnd w:id="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1）</w:t>
      </w:r>
      <w:r>
        <w:rPr>
          <w:rFonts w:hint="default" w:ascii="仿宋_GB2312" w:hAnsi="仿宋_GB2312" w:eastAsia="仿宋_GB2312" w:cs="仿宋_GB2312"/>
          <w:i w:val="0"/>
          <w:caps w:val="0"/>
          <w:color w:val="191919"/>
          <w:spacing w:val="0"/>
          <w:sz w:val="28"/>
          <w:szCs w:val="28"/>
          <w:shd w:val="clear" w:color="auto" w:fill="FFFFFF"/>
          <w:lang w:eastAsia="zh-CN"/>
        </w:rPr>
        <w:t>生态环境</w:t>
      </w:r>
      <w:r>
        <w:rPr>
          <w:rFonts w:hint="default" w:ascii="仿宋_GB2312" w:hAnsi="仿宋_GB2312" w:eastAsia="仿宋_GB2312" w:cs="仿宋_GB2312"/>
          <w:i w:val="0"/>
          <w:caps w:val="0"/>
          <w:color w:val="191919"/>
          <w:spacing w:val="0"/>
          <w:sz w:val="28"/>
          <w:szCs w:val="28"/>
          <w:shd w:val="clear" w:color="auto" w:fill="FFFFFF"/>
        </w:rPr>
        <w:t>主管部门对全</w:t>
      </w:r>
      <w:r>
        <w:rPr>
          <w:rFonts w:hint="default" w:ascii="仿宋_GB2312" w:hAnsi="仿宋_GB2312" w:eastAsia="仿宋_GB2312" w:cs="仿宋_GB2312"/>
          <w:i w:val="0"/>
          <w:caps w:val="0"/>
          <w:color w:val="191919"/>
          <w:spacing w:val="0"/>
          <w:sz w:val="28"/>
          <w:szCs w:val="28"/>
          <w:shd w:val="clear" w:color="auto" w:fill="FFFFFF"/>
          <w:lang w:eastAsia="zh-CN"/>
        </w:rPr>
        <w:t>县</w:t>
      </w:r>
      <w:r>
        <w:rPr>
          <w:rFonts w:hint="default" w:ascii="仿宋_GB2312" w:hAnsi="仿宋_GB2312" w:eastAsia="仿宋_GB2312" w:cs="仿宋_GB2312"/>
          <w:i w:val="0"/>
          <w:caps w:val="0"/>
          <w:color w:val="191919"/>
          <w:spacing w:val="0"/>
          <w:sz w:val="28"/>
          <w:szCs w:val="28"/>
          <w:shd w:val="clear" w:color="auto" w:fill="FFFFFF"/>
        </w:rPr>
        <w:t>环境噪声污染防治实施统一监督管理。公安、交通、</w:t>
      </w:r>
      <w:r>
        <w:rPr>
          <w:rFonts w:hint="default" w:ascii="仿宋_GB2312" w:hAnsi="仿宋_GB2312" w:eastAsia="仿宋_GB2312" w:cs="仿宋_GB2312"/>
          <w:i w:val="0"/>
          <w:caps w:val="0"/>
          <w:color w:val="191919"/>
          <w:spacing w:val="0"/>
          <w:sz w:val="28"/>
          <w:szCs w:val="28"/>
          <w:shd w:val="clear" w:color="auto" w:fill="FFFFFF"/>
          <w:lang w:eastAsia="zh-CN"/>
        </w:rPr>
        <w:t>住建、自然资源</w:t>
      </w:r>
      <w:r>
        <w:rPr>
          <w:rFonts w:hint="default" w:ascii="仿宋_GB2312" w:hAnsi="仿宋_GB2312" w:eastAsia="仿宋_GB2312" w:cs="仿宋_GB2312"/>
          <w:i w:val="0"/>
          <w:caps w:val="0"/>
          <w:color w:val="191919"/>
          <w:spacing w:val="0"/>
          <w:sz w:val="28"/>
          <w:szCs w:val="28"/>
          <w:shd w:val="clear" w:color="auto" w:fill="FFFFFF"/>
        </w:rPr>
        <w:t>等行政管理部门在各自职责范围内对环境噪声污染防治实施监督管理。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2</w:t>
      </w:r>
      <w:r>
        <w:rPr>
          <w:rFonts w:hint="default" w:ascii="仿宋_GB2312" w:hAnsi="仿宋_GB2312" w:eastAsia="仿宋_GB2312" w:cs="仿宋_GB2312"/>
          <w:i w:val="0"/>
          <w:caps w:val="0"/>
          <w:color w:val="191919"/>
          <w:spacing w:val="0"/>
          <w:sz w:val="28"/>
          <w:szCs w:val="28"/>
          <w:shd w:val="clear" w:color="auto" w:fill="FFFFFF"/>
        </w:rPr>
        <w:t>）严格准入，确保既有声环境质量不降低。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①县自然资源</w:t>
      </w:r>
      <w:r>
        <w:rPr>
          <w:rFonts w:hint="default" w:ascii="仿宋_GB2312" w:hAnsi="仿宋_GB2312" w:eastAsia="仿宋_GB2312" w:cs="仿宋_GB2312"/>
          <w:i w:val="0"/>
          <w:caps w:val="0"/>
          <w:color w:val="191919"/>
          <w:spacing w:val="0"/>
          <w:sz w:val="28"/>
          <w:szCs w:val="28"/>
          <w:shd w:val="clear" w:color="auto" w:fill="FFFFFF"/>
        </w:rPr>
        <w:t>局在制定城乡建设规划、土地利用总体规划和基础设施建设规划时，应当统筹规划建设用地布局，合理安排城市建设用地时序，充分考虑建设项目的区域开发、改造所产生的噪声对周围生活环境的影响并落实噪声污染防护措施</w:t>
      </w:r>
      <w:r>
        <w:rPr>
          <w:rFonts w:hint="default" w:ascii="仿宋_GB2312" w:hAnsi="仿宋_GB2312" w:eastAsia="仿宋_GB2312" w:cs="仿宋_GB2312"/>
          <w:i w:val="0"/>
          <w:caps w:val="0"/>
          <w:color w:val="191919"/>
          <w:spacing w:val="0"/>
          <w:sz w:val="28"/>
          <w:szCs w:val="28"/>
          <w:shd w:val="clear" w:color="auto" w:fill="FFFFFF"/>
          <w:lang w:eastAsia="zh-CN"/>
        </w:rPr>
        <w:t>。（县自然资源</w:t>
      </w:r>
      <w:r>
        <w:rPr>
          <w:rFonts w:hint="default" w:ascii="仿宋_GB2312" w:hAnsi="仿宋_GB2312" w:eastAsia="仿宋_GB2312" w:cs="仿宋_GB2312"/>
          <w:i w:val="0"/>
          <w:caps w:val="0"/>
          <w:color w:val="191919"/>
          <w:spacing w:val="0"/>
          <w:sz w:val="28"/>
          <w:szCs w:val="28"/>
          <w:shd w:val="clear" w:color="auto" w:fill="FFFFFF"/>
        </w:rPr>
        <w:t>局</w:t>
      </w:r>
      <w:r>
        <w:rPr>
          <w:rFonts w:hint="default" w:ascii="仿宋_GB2312" w:hAnsi="仿宋_GB2312" w:eastAsia="仿宋_GB2312" w:cs="仿宋_GB2312"/>
          <w:i w:val="0"/>
          <w:caps w:val="0"/>
          <w:color w:val="191919"/>
          <w:spacing w:val="0"/>
          <w:sz w:val="28"/>
          <w:szCs w:val="28"/>
          <w:shd w:val="clear" w:color="auto" w:fill="FFFFFF"/>
          <w:lang w:val="en-US" w:eastAsia="zh-CN"/>
        </w:rPr>
        <w:t>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②</w:t>
      </w:r>
      <w:r>
        <w:rPr>
          <w:rFonts w:hint="default" w:ascii="仿宋_GB2312" w:hAnsi="仿宋_GB2312" w:eastAsia="仿宋_GB2312" w:cs="仿宋_GB2312"/>
          <w:i w:val="0"/>
          <w:caps w:val="0"/>
          <w:color w:val="191919"/>
          <w:spacing w:val="0"/>
          <w:sz w:val="28"/>
          <w:szCs w:val="28"/>
          <w:shd w:val="clear" w:color="auto" w:fill="FFFFFF"/>
        </w:rPr>
        <w:t>禁止在0类区和1类区新建、扩建、改建产生环境噪声污染的工业企业。禁止在居民住宅楼内开办产生噪声污染的机动车修配厂、加工厂、印刷厂等。严格限制在2类区新建、扩建、改建产生环境噪声污染的工业企业。</w:t>
      </w:r>
      <w:r>
        <w:rPr>
          <w:rFonts w:hint="default" w:ascii="仿宋_GB2312" w:hAnsi="仿宋_GB2312" w:eastAsia="仿宋_GB2312" w:cs="仿宋_GB2312"/>
          <w:i w:val="0"/>
          <w:caps w:val="0"/>
          <w:color w:val="191919"/>
          <w:spacing w:val="0"/>
          <w:sz w:val="28"/>
          <w:szCs w:val="28"/>
          <w:shd w:val="clear" w:color="auto" w:fill="FFFFFF"/>
          <w:lang w:eastAsia="zh-CN"/>
        </w:rPr>
        <w:t>（县</w:t>
      </w:r>
      <w:r>
        <w:rPr>
          <w:rFonts w:hint="default" w:ascii="仿宋_GB2312" w:hAnsi="仿宋_GB2312" w:eastAsia="仿宋_GB2312" w:cs="仿宋_GB2312"/>
          <w:i w:val="0"/>
          <w:caps w:val="0"/>
          <w:color w:val="191919"/>
          <w:spacing w:val="0"/>
          <w:sz w:val="28"/>
          <w:szCs w:val="28"/>
          <w:shd w:val="clear" w:color="auto" w:fill="FFFFFF"/>
          <w:lang w:val="en-US" w:eastAsia="zh-CN"/>
        </w:rPr>
        <w:t>行政审批服务管理局、县</w:t>
      </w:r>
      <w:r>
        <w:rPr>
          <w:rFonts w:hint="default" w:ascii="仿宋_GB2312" w:hAnsi="仿宋_GB2312" w:eastAsia="仿宋_GB2312" w:cs="仿宋_GB2312"/>
          <w:i w:val="0"/>
          <w:caps w:val="0"/>
          <w:color w:val="191919"/>
          <w:spacing w:val="0"/>
          <w:sz w:val="28"/>
          <w:szCs w:val="28"/>
          <w:shd w:val="clear" w:color="auto" w:fill="FFFFFF"/>
          <w:lang w:eastAsia="zh-CN"/>
        </w:rPr>
        <w:t>自然资源局</w:t>
      </w:r>
      <w:r>
        <w:rPr>
          <w:rFonts w:hint="default" w:ascii="仿宋_GB2312" w:hAnsi="仿宋_GB2312" w:eastAsia="仿宋_GB2312" w:cs="仿宋_GB2312"/>
          <w:i w:val="0"/>
          <w:caps w:val="0"/>
          <w:color w:val="191919"/>
          <w:spacing w:val="0"/>
          <w:sz w:val="28"/>
          <w:szCs w:val="28"/>
          <w:shd w:val="clear" w:color="auto" w:fill="FFFFFF"/>
          <w:lang w:val="en-US" w:eastAsia="zh-CN"/>
        </w:rPr>
        <w:t>分别按职责牵头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③</w:t>
      </w:r>
      <w:r>
        <w:rPr>
          <w:rFonts w:hint="default" w:ascii="仿宋_GB2312" w:hAnsi="仿宋_GB2312" w:eastAsia="仿宋_GB2312" w:cs="仿宋_GB2312"/>
          <w:i w:val="0"/>
          <w:caps w:val="0"/>
          <w:color w:val="191919"/>
          <w:spacing w:val="0"/>
          <w:sz w:val="28"/>
          <w:szCs w:val="28"/>
          <w:shd w:val="clear" w:color="auto" w:fill="FFFFFF"/>
          <w:lang w:val="en-US" w:eastAsia="zh-CN"/>
        </w:rPr>
        <w:t>新建营业性文化娱乐场所的边界噪声必须符合国家规定的环境噪声排放标准；不符合国家规定的环境噪声排放标准的，不得核发文化经营许可证和营业执照</w:t>
      </w: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eastAsia="zh-CN"/>
        </w:rPr>
        <w:t>（县</w:t>
      </w:r>
      <w:r>
        <w:rPr>
          <w:rFonts w:hint="default" w:ascii="仿宋_GB2312" w:hAnsi="仿宋_GB2312" w:eastAsia="仿宋_GB2312" w:cs="仿宋_GB2312"/>
          <w:i w:val="0"/>
          <w:caps w:val="0"/>
          <w:color w:val="191919"/>
          <w:spacing w:val="0"/>
          <w:sz w:val="28"/>
          <w:szCs w:val="28"/>
          <w:shd w:val="clear" w:color="auto" w:fill="FFFFFF"/>
          <w:lang w:val="en-US" w:eastAsia="zh-CN"/>
        </w:rPr>
        <w:t>行政审批服务管理局、县文旅局分别按职责牵头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3</w:t>
      </w:r>
      <w:r>
        <w:rPr>
          <w:rFonts w:hint="default" w:ascii="仿宋_GB2312" w:hAnsi="仿宋_GB2312" w:eastAsia="仿宋_GB2312" w:cs="仿宋_GB2312"/>
          <w:i w:val="0"/>
          <w:caps w:val="0"/>
          <w:color w:val="191919"/>
          <w:spacing w:val="0"/>
          <w:sz w:val="28"/>
          <w:szCs w:val="28"/>
          <w:shd w:val="clear" w:color="auto" w:fill="FFFFFF"/>
        </w:rPr>
        <w:t>）严格落实噪声污染防治措施，确保达标排放。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①</w:t>
      </w:r>
      <w:r>
        <w:rPr>
          <w:rFonts w:hint="default" w:ascii="仿宋_GB2312" w:hAnsi="仿宋_GB2312" w:eastAsia="仿宋_GB2312" w:cs="仿宋_GB2312"/>
          <w:i w:val="0"/>
          <w:caps w:val="0"/>
          <w:color w:val="191919"/>
          <w:spacing w:val="0"/>
          <w:sz w:val="28"/>
          <w:szCs w:val="28"/>
          <w:shd w:val="clear" w:color="auto" w:fill="FFFFFF"/>
        </w:rPr>
        <w:t>按照《工业企业厂界环境噪声排放标准》（GB12348—2008）要求，其厂界标准须达到该区域的功能区噪声限值。按照《社会生活环境噪声排放标准》（GB22337—2008），</w:t>
      </w:r>
      <w:r>
        <w:rPr>
          <w:rFonts w:hint="default" w:ascii="仿宋_GB2312" w:hAnsi="仿宋_GB2312" w:eastAsia="仿宋_GB2312" w:cs="仿宋_GB2312"/>
          <w:i w:val="0"/>
          <w:caps w:val="0"/>
          <w:color w:val="191919"/>
          <w:spacing w:val="0"/>
          <w:sz w:val="28"/>
          <w:szCs w:val="28"/>
          <w:shd w:val="clear" w:color="auto" w:fill="FFFFFF"/>
          <w:lang w:val="en-US" w:eastAsia="zh-CN"/>
        </w:rPr>
        <w:t>营业性文化娱乐场所</w:t>
      </w:r>
      <w:r>
        <w:rPr>
          <w:rFonts w:hint="default" w:ascii="仿宋_GB2312" w:hAnsi="仿宋_GB2312" w:eastAsia="仿宋_GB2312" w:cs="仿宋_GB2312"/>
          <w:i w:val="0"/>
          <w:caps w:val="0"/>
          <w:color w:val="191919"/>
          <w:spacing w:val="0"/>
          <w:sz w:val="28"/>
          <w:szCs w:val="28"/>
          <w:shd w:val="clear" w:color="auto" w:fill="FFFFFF"/>
        </w:rPr>
        <w:t>和商业经营活动中使用的</w:t>
      </w:r>
      <w:r>
        <w:rPr>
          <w:rFonts w:hint="default" w:ascii="仿宋_GB2312" w:hAnsi="仿宋_GB2312" w:eastAsia="仿宋_GB2312" w:cs="仿宋_GB2312"/>
          <w:i w:val="0"/>
          <w:caps w:val="0"/>
          <w:color w:val="191919"/>
          <w:spacing w:val="0"/>
          <w:sz w:val="28"/>
          <w:szCs w:val="28"/>
          <w:shd w:val="clear" w:color="auto" w:fill="FFFFFF"/>
          <w:lang w:val="en-US" w:eastAsia="zh-CN"/>
        </w:rPr>
        <w:t>空调器、冷却塔等可能产生环境噪声污染的</w:t>
      </w:r>
      <w:r>
        <w:rPr>
          <w:rFonts w:hint="default" w:ascii="仿宋_GB2312" w:hAnsi="仿宋_GB2312" w:eastAsia="仿宋_GB2312" w:cs="仿宋_GB2312"/>
          <w:i w:val="0"/>
          <w:caps w:val="0"/>
          <w:color w:val="191919"/>
          <w:spacing w:val="0"/>
          <w:sz w:val="28"/>
          <w:szCs w:val="28"/>
          <w:shd w:val="clear" w:color="auto" w:fill="FFFFFF"/>
        </w:rPr>
        <w:t>设备</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设施</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必须采取有效措施，使其边界噪声不超过国家规定的环境噪声排放标准</w:t>
      </w:r>
      <w:r>
        <w:rPr>
          <w:rFonts w:hint="default" w:ascii="仿宋_GB2312" w:hAnsi="仿宋_GB2312" w:eastAsia="仿宋_GB2312" w:cs="仿宋_GB2312"/>
          <w:i w:val="0"/>
          <w:caps w:val="0"/>
          <w:color w:val="191919"/>
          <w:spacing w:val="0"/>
          <w:sz w:val="28"/>
          <w:szCs w:val="28"/>
          <w:shd w:val="clear" w:color="auto" w:fill="FFFFFF"/>
        </w:rPr>
        <w:t>。施工噪声要达到《建筑施工场界环境噪声排放标准》（GB12523—2011）。</w:t>
      </w:r>
      <w:r>
        <w:rPr>
          <w:rFonts w:hint="default" w:ascii="仿宋_GB2312" w:hAnsi="仿宋_GB2312" w:eastAsia="仿宋_GB2312" w:cs="仿宋_GB2312"/>
          <w:i w:val="0"/>
          <w:caps w:val="0"/>
          <w:color w:val="191919"/>
          <w:spacing w:val="0"/>
          <w:sz w:val="28"/>
          <w:szCs w:val="28"/>
          <w:shd w:val="clear" w:color="auto" w:fill="FFFFFF"/>
          <w:lang w:val="en-US" w:eastAsia="zh-CN"/>
        </w:rPr>
        <w:t>在市区噪声敏感建筑物集中区域内，禁止夜间进行产生环境噪声污染的建筑施工作业，但抢修、</w:t>
      </w:r>
      <w:r>
        <w:rPr>
          <w:rFonts w:hint="default" w:ascii="仿宋_GB2312" w:hAnsi="仿宋_GB2312" w:eastAsia="仿宋_GB2312" w:cs="仿宋_GB2312"/>
          <w:i w:val="0"/>
          <w:caps w:val="0"/>
          <w:color w:val="191919"/>
          <w:spacing w:val="0"/>
          <w:sz w:val="28"/>
          <w:szCs w:val="28"/>
          <w:shd w:val="clear" w:color="auto" w:fill="FFFFFF"/>
        </w:rPr>
        <w:t>抢险</w:t>
      </w:r>
      <w:r>
        <w:rPr>
          <w:rFonts w:hint="default" w:ascii="仿宋_GB2312" w:hAnsi="仿宋_GB2312" w:eastAsia="仿宋_GB2312" w:cs="仿宋_GB2312"/>
          <w:i w:val="0"/>
          <w:caps w:val="0"/>
          <w:color w:val="191919"/>
          <w:spacing w:val="0"/>
          <w:sz w:val="28"/>
          <w:szCs w:val="28"/>
          <w:shd w:val="clear" w:color="auto" w:fill="FFFFFF"/>
          <w:lang w:val="en-US" w:eastAsia="zh-CN"/>
        </w:rPr>
        <w:t>作业和因生产工艺上要求或者特殊需要必须连续作业的除外。因特殊需要必须连续作业的，必须有县级以上人民政府或者其有关主管部门的证明</w:t>
      </w: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eastAsia="zh-CN"/>
        </w:rPr>
        <w:t>（忻州市生态环境局神池分局、县市场监管局、县住建局分别按职责</w:t>
      </w:r>
      <w:r>
        <w:rPr>
          <w:rFonts w:hint="default" w:ascii="仿宋_GB2312" w:hAnsi="仿宋_GB2312" w:eastAsia="仿宋_GB2312" w:cs="仿宋_GB2312"/>
          <w:i w:val="0"/>
          <w:caps w:val="0"/>
          <w:color w:val="191919"/>
          <w:spacing w:val="0"/>
          <w:sz w:val="28"/>
          <w:szCs w:val="28"/>
          <w:shd w:val="clear" w:color="auto" w:fill="FFFFFF"/>
          <w:lang w:val="en-US" w:eastAsia="zh-CN"/>
        </w:rPr>
        <w:t>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②开展绿色护考。高考、中考、公务员考试等重要考试期间，禁止在考场周边100米区域内进行产生噪声污染的施工作业，禁止未经批准擅自进行夜间施工作业的工地使用渣土车辆运输；加强机动车噪声监管，在考点周边主干道设立“禁止鸣笛”标识，严禁考试期间考点周围交通道路车辆鸣笛，非执行紧急公务车辆禁止使用警报器，禁止未安装排气管消声器或排气管消声器失效的机动车上路行驶；严禁考试期间考点周围广场、商业场所使用高音喇叭等音响器材。</w:t>
      </w:r>
      <w:r>
        <w:rPr>
          <w:rFonts w:hint="default" w:ascii="仿宋_GB2312" w:hAnsi="仿宋_GB2312" w:eastAsia="仿宋_GB2312" w:cs="仿宋_GB2312"/>
          <w:i w:val="0"/>
          <w:caps w:val="0"/>
          <w:color w:val="191919"/>
          <w:spacing w:val="0"/>
          <w:sz w:val="28"/>
          <w:szCs w:val="28"/>
          <w:shd w:val="clear" w:color="auto" w:fill="FFFFFF"/>
          <w:lang w:eastAsia="zh-CN"/>
        </w:rPr>
        <w:t>（忻州市生态环境局神池分局、县</w:t>
      </w:r>
      <w:r>
        <w:rPr>
          <w:rFonts w:hint="default" w:ascii="仿宋_GB2312" w:hAnsi="仿宋_GB2312" w:eastAsia="仿宋_GB2312" w:cs="仿宋_GB2312"/>
          <w:i w:val="0"/>
          <w:caps w:val="0"/>
          <w:color w:val="191919"/>
          <w:spacing w:val="0"/>
          <w:sz w:val="28"/>
          <w:szCs w:val="28"/>
          <w:shd w:val="clear" w:color="auto" w:fill="FFFFFF"/>
          <w:lang w:val="en-US" w:eastAsia="zh-CN"/>
        </w:rPr>
        <w:t>住建局、县</w:t>
      </w:r>
      <w:r>
        <w:rPr>
          <w:rFonts w:hint="default" w:ascii="仿宋_GB2312" w:hAnsi="仿宋_GB2312" w:eastAsia="仿宋_GB2312" w:cs="仿宋_GB2312"/>
          <w:i w:val="0"/>
          <w:caps w:val="0"/>
          <w:color w:val="191919"/>
          <w:spacing w:val="0"/>
          <w:sz w:val="28"/>
          <w:szCs w:val="28"/>
          <w:shd w:val="clear" w:color="auto" w:fill="FFFFFF"/>
          <w:lang w:eastAsia="zh-CN"/>
        </w:rPr>
        <w:t>公安局</w:t>
      </w:r>
      <w:r>
        <w:rPr>
          <w:rFonts w:hint="default" w:ascii="仿宋_GB2312" w:hAnsi="仿宋_GB2312" w:eastAsia="仿宋_GB2312" w:cs="仿宋_GB2312"/>
          <w:i w:val="0"/>
          <w:caps w:val="0"/>
          <w:color w:val="191919"/>
          <w:spacing w:val="0"/>
          <w:sz w:val="28"/>
          <w:szCs w:val="28"/>
          <w:shd w:val="clear" w:color="auto" w:fill="FFFFFF"/>
          <w:lang w:val="en-US" w:eastAsia="zh-CN"/>
        </w:rPr>
        <w:t>分别按职责牵头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lang w:val="en-US" w:eastAsia="zh-CN"/>
        </w:rPr>
        <w:t>③公安机关应加强对高噪音喇叭的监督力度，在噪声敏感建筑物集中区域和市区街道、广场、公园等公共场所，禁止使用高音喇叭或其他发出高噪声的音响器材。使用家用电器、乐器或者进行其他家庭室内娱乐活动时，应当控制音量或者采取其他有效措施，避免对周围居民造成环境噪声污染；在已竣工交付使用的住宅楼内进行室内装修活动时，应限制作业时间，并采取其他有效措施，减轻对周围居民造成环境噪声污染。</w:t>
      </w:r>
      <w:r>
        <w:rPr>
          <w:rFonts w:hint="default" w:ascii="仿宋_GB2312" w:hAnsi="仿宋_GB2312" w:eastAsia="仿宋_GB2312" w:cs="仿宋_GB2312"/>
          <w:i w:val="0"/>
          <w:caps w:val="0"/>
          <w:color w:val="191919"/>
          <w:spacing w:val="0"/>
          <w:sz w:val="28"/>
          <w:szCs w:val="28"/>
          <w:shd w:val="clear" w:color="auto" w:fill="FFFFFF"/>
          <w:lang w:eastAsia="zh-CN"/>
        </w:rPr>
        <w:t>（县公安局</w:t>
      </w:r>
      <w:r>
        <w:rPr>
          <w:rFonts w:hint="default" w:ascii="仿宋_GB2312" w:hAnsi="仿宋_GB2312" w:eastAsia="仿宋_GB2312" w:cs="仿宋_GB2312"/>
          <w:i w:val="0"/>
          <w:caps w:val="0"/>
          <w:color w:val="191919"/>
          <w:spacing w:val="0"/>
          <w:sz w:val="28"/>
          <w:szCs w:val="28"/>
          <w:shd w:val="clear" w:color="auto" w:fill="FFFFFF"/>
          <w:lang w:val="en-US" w:eastAsia="zh-CN"/>
        </w:rPr>
        <w:t>牵头</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4</w:t>
      </w:r>
      <w:r>
        <w:rPr>
          <w:rFonts w:hint="default" w:ascii="仿宋_GB2312" w:hAnsi="仿宋_GB2312" w:eastAsia="仿宋_GB2312" w:cs="仿宋_GB2312"/>
          <w:i w:val="0"/>
          <w:caps w:val="0"/>
          <w:color w:val="191919"/>
          <w:spacing w:val="0"/>
          <w:sz w:val="28"/>
          <w:szCs w:val="28"/>
          <w:shd w:val="clear" w:color="auto" w:fill="FFFFFF"/>
        </w:rPr>
        <w:t>）定期开展城市建成区噪声污染专项整治工作</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val="en-US" w:eastAsia="zh-CN"/>
        </w:rPr>
        <w:t>通过生态环境、住建、城市管理</w:t>
      </w:r>
      <w:r>
        <w:rPr>
          <w:rFonts w:hint="default" w:ascii="仿宋_GB2312" w:hAnsi="仿宋_GB2312" w:eastAsia="仿宋_GB2312" w:cs="仿宋_GB2312"/>
          <w:i w:val="0"/>
          <w:caps w:val="0"/>
          <w:color w:val="191919"/>
          <w:spacing w:val="0"/>
          <w:sz w:val="28"/>
          <w:szCs w:val="28"/>
          <w:shd w:val="clear" w:color="auto" w:fill="FFFFFF"/>
        </w:rPr>
        <w:t>、交通、公安等相关部门联合执法的方式，加大对城市建成区噪声污染的综合整治力度，对发现问题的单位进行停产整顿、限期整改</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default" w:ascii="仿宋_GB2312" w:hAnsi="仿宋_GB2312" w:eastAsia="仿宋_GB2312" w:cs="仿宋_GB2312"/>
          <w:i w:val="0"/>
          <w:caps w:val="0"/>
          <w:color w:val="191919"/>
          <w:spacing w:val="0"/>
          <w:sz w:val="28"/>
          <w:szCs w:val="28"/>
          <w:shd w:val="clear" w:color="auto" w:fill="FFFFFF"/>
        </w:rPr>
        <w:t>罚款等处罚</w:t>
      </w:r>
      <w:r>
        <w:rPr>
          <w:rFonts w:hint="default" w:ascii="仿宋_GB2312" w:hAnsi="仿宋_GB2312" w:eastAsia="仿宋_GB2312" w:cs="仿宋_GB2312"/>
          <w:i w:val="0"/>
          <w:caps w:val="0"/>
          <w:color w:val="191919"/>
          <w:spacing w:val="0"/>
          <w:sz w:val="28"/>
          <w:szCs w:val="28"/>
          <w:shd w:val="clear" w:color="auto" w:fill="FFFFFF"/>
          <w:lang w:val="en-US" w:eastAsia="zh-CN"/>
        </w:rPr>
        <w:t>措施</w:t>
      </w:r>
      <w:r>
        <w:rPr>
          <w:rFonts w:hint="default" w:ascii="仿宋_GB2312" w:hAnsi="仿宋_GB2312" w:eastAsia="仿宋_GB2312" w:cs="仿宋_GB2312"/>
          <w:i w:val="0"/>
          <w:caps w:val="0"/>
          <w:color w:val="191919"/>
          <w:spacing w:val="0"/>
          <w:sz w:val="28"/>
          <w:szCs w:val="28"/>
          <w:shd w:val="clear" w:color="auto" w:fill="FFFFFF"/>
        </w:rPr>
        <w:t>，杜绝噪声扰民。</w:t>
      </w:r>
      <w:r>
        <w:rPr>
          <w:rFonts w:hint="default" w:ascii="仿宋_GB2312" w:hAnsi="仿宋_GB2312" w:eastAsia="仿宋_GB2312" w:cs="仿宋_GB2312"/>
          <w:i w:val="0"/>
          <w:caps w:val="0"/>
          <w:color w:val="191919"/>
          <w:spacing w:val="0"/>
          <w:sz w:val="28"/>
          <w:szCs w:val="28"/>
          <w:shd w:val="clear" w:color="auto" w:fill="FFFFFF"/>
          <w:lang w:val="en-US" w:eastAsia="zh-CN"/>
        </w:rPr>
        <w:t>（忻州市</w:t>
      </w:r>
      <w:r>
        <w:rPr>
          <w:rFonts w:hint="default" w:ascii="仿宋_GB2312" w:hAnsi="仿宋_GB2312" w:eastAsia="仿宋_GB2312" w:cs="仿宋_GB2312"/>
          <w:i w:val="0"/>
          <w:caps w:val="0"/>
          <w:color w:val="191919"/>
          <w:spacing w:val="0"/>
          <w:sz w:val="28"/>
          <w:szCs w:val="28"/>
          <w:shd w:val="clear" w:color="auto" w:fill="FFFFFF"/>
          <w:lang w:eastAsia="zh-CN"/>
        </w:rPr>
        <w:t>生态环境局神池分局</w:t>
      </w:r>
      <w:r>
        <w:rPr>
          <w:rFonts w:hint="default" w:ascii="仿宋_GB2312" w:hAnsi="仿宋_GB2312" w:eastAsia="仿宋_GB2312" w:cs="仿宋_GB2312"/>
          <w:i w:val="0"/>
          <w:caps w:val="0"/>
          <w:color w:val="191919"/>
          <w:spacing w:val="0"/>
          <w:sz w:val="28"/>
          <w:szCs w:val="28"/>
          <w:shd w:val="clear" w:color="auto" w:fill="FFFFFF"/>
          <w:lang w:val="en-US" w:eastAsia="zh-CN"/>
        </w:rPr>
        <w:t>、县住建局、县交通运输局、县公安局联合执法）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5</w:t>
      </w: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eastAsia="zh-CN"/>
        </w:rPr>
        <w:t>道路交通噪声控制。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val="en-US" w:eastAsia="zh-CN"/>
        </w:rPr>
      </w:pPr>
      <w:r>
        <w:rPr>
          <w:rFonts w:hint="default" w:ascii="仿宋_GB2312" w:hAnsi="仿宋_GB2312" w:eastAsia="仿宋_GB2312" w:cs="仿宋_GB2312"/>
          <w:i w:val="0"/>
          <w:caps w:val="0"/>
          <w:color w:val="191919"/>
          <w:spacing w:val="0"/>
          <w:sz w:val="28"/>
          <w:szCs w:val="28"/>
          <w:shd w:val="clear" w:color="auto" w:fill="FFFFFF"/>
          <w:lang w:eastAsia="zh-CN"/>
        </w:rPr>
        <w:t>①</w:t>
      </w:r>
      <w:r>
        <w:rPr>
          <w:rFonts w:hint="default" w:ascii="仿宋_GB2312" w:hAnsi="仿宋_GB2312" w:eastAsia="仿宋_GB2312" w:cs="仿宋_GB2312"/>
          <w:i w:val="0"/>
          <w:caps w:val="0"/>
          <w:color w:val="191919"/>
          <w:spacing w:val="0"/>
          <w:sz w:val="28"/>
          <w:szCs w:val="28"/>
          <w:shd w:val="clear" w:color="auto" w:fill="FFFFFF"/>
          <w:lang w:val="en-US" w:eastAsia="zh-CN"/>
        </w:rPr>
        <w:t>在县区建设过程中，</w:t>
      </w:r>
      <w:r>
        <w:rPr>
          <w:rFonts w:hint="default" w:ascii="仿宋_GB2312" w:hAnsi="仿宋_GB2312" w:eastAsia="仿宋_GB2312" w:cs="仿宋_GB2312"/>
          <w:i w:val="0"/>
          <w:caps w:val="0"/>
          <w:color w:val="191919"/>
          <w:spacing w:val="0"/>
          <w:sz w:val="28"/>
          <w:szCs w:val="28"/>
          <w:shd w:val="clear" w:color="auto" w:fill="FFFFFF"/>
        </w:rPr>
        <w:t>严格按照规划推进环城公路、</w:t>
      </w:r>
      <w:r>
        <w:rPr>
          <w:rFonts w:hint="default" w:ascii="仿宋_GB2312" w:hAnsi="仿宋_GB2312" w:eastAsia="仿宋_GB2312" w:cs="仿宋_GB2312"/>
          <w:i w:val="0"/>
          <w:caps w:val="0"/>
          <w:color w:val="191919"/>
          <w:spacing w:val="0"/>
          <w:sz w:val="28"/>
          <w:szCs w:val="28"/>
          <w:shd w:val="clear" w:color="auto" w:fill="FFFFFF"/>
          <w:lang w:eastAsia="zh-CN"/>
        </w:rPr>
        <w:t>城市</w:t>
      </w:r>
      <w:r>
        <w:rPr>
          <w:rFonts w:hint="default" w:ascii="仿宋_GB2312" w:hAnsi="仿宋_GB2312" w:eastAsia="仿宋_GB2312" w:cs="仿宋_GB2312"/>
          <w:i w:val="0"/>
          <w:caps w:val="0"/>
          <w:color w:val="191919"/>
          <w:spacing w:val="0"/>
          <w:sz w:val="28"/>
          <w:szCs w:val="28"/>
          <w:shd w:val="clear" w:color="auto" w:fill="FFFFFF"/>
        </w:rPr>
        <w:t>建成区街道的拓宽改造工程，进一步提高交通的通畅度</w:t>
      </w:r>
      <w:r>
        <w:rPr>
          <w:rFonts w:hint="default" w:ascii="仿宋_GB2312" w:hAnsi="仿宋_GB2312" w:eastAsia="仿宋_GB2312" w:cs="仿宋_GB2312"/>
          <w:i w:val="0"/>
          <w:caps w:val="0"/>
          <w:color w:val="191919"/>
          <w:spacing w:val="0"/>
          <w:sz w:val="28"/>
          <w:szCs w:val="28"/>
          <w:shd w:val="clear" w:color="auto" w:fill="FFFFFF"/>
          <w:lang w:eastAsia="zh-CN"/>
        </w:rPr>
        <w:t>。</w:t>
      </w:r>
      <w:r>
        <w:rPr>
          <w:rFonts w:hint="default" w:ascii="仿宋_GB2312" w:hAnsi="仿宋_GB2312" w:eastAsia="仿宋_GB2312" w:cs="仿宋_GB2312"/>
          <w:i w:val="0"/>
          <w:caps w:val="0"/>
          <w:color w:val="191919"/>
          <w:spacing w:val="0"/>
          <w:sz w:val="28"/>
          <w:szCs w:val="28"/>
          <w:shd w:val="clear" w:color="auto" w:fill="FFFFFF"/>
          <w:lang w:val="en-US" w:eastAsia="zh-CN"/>
        </w:rPr>
        <w:t>（县自然资源局、县住建局分别按职责牵头）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lang w:eastAsia="zh-CN"/>
        </w:rPr>
        <w:t>②</w:t>
      </w:r>
      <w:r>
        <w:rPr>
          <w:rFonts w:hint="default" w:ascii="仿宋_GB2312" w:hAnsi="仿宋_GB2312" w:eastAsia="仿宋_GB2312" w:cs="仿宋_GB2312"/>
          <w:i w:val="0"/>
          <w:caps w:val="0"/>
          <w:color w:val="191919"/>
          <w:spacing w:val="0"/>
          <w:sz w:val="28"/>
          <w:szCs w:val="28"/>
          <w:shd w:val="clear" w:color="auto" w:fill="FFFFFF"/>
        </w:rPr>
        <w:t>交警部门要与时俱进，结合城市交通、车辆拥有量和交通环境的变化，进一步充实完善交通管理规章</w:t>
      </w:r>
      <w:r>
        <w:rPr>
          <w:rFonts w:hint="default" w:ascii="仿宋_GB2312" w:hAnsi="仿宋_GB2312" w:eastAsia="仿宋_GB2312" w:cs="仿宋_GB2312"/>
          <w:i w:val="0"/>
          <w:caps w:val="0"/>
          <w:color w:val="191919"/>
          <w:spacing w:val="0"/>
          <w:sz w:val="28"/>
          <w:szCs w:val="28"/>
          <w:shd w:val="clear" w:color="auto" w:fill="FFFFFF"/>
          <w:lang w:val="en-US" w:eastAsia="zh-CN"/>
        </w:rPr>
        <w:t>制度</w:t>
      </w:r>
      <w:r>
        <w:rPr>
          <w:rFonts w:hint="default" w:ascii="仿宋_GB2312" w:hAnsi="仿宋_GB2312" w:eastAsia="仿宋_GB2312" w:cs="仿宋_GB2312"/>
          <w:i w:val="0"/>
          <w:caps w:val="0"/>
          <w:color w:val="191919"/>
          <w:spacing w:val="0"/>
          <w:sz w:val="28"/>
          <w:szCs w:val="28"/>
          <w:shd w:val="clear" w:color="auto" w:fill="FFFFFF"/>
        </w:rPr>
        <w:t>，科学优化各类车辆运行机制，稳定实施有效管控。</w:t>
      </w:r>
      <w:r>
        <w:rPr>
          <w:rFonts w:hint="default" w:ascii="仿宋_GB2312" w:hAnsi="仿宋_GB2312" w:eastAsia="仿宋_GB2312" w:cs="仿宋_GB2312"/>
          <w:i w:val="0"/>
          <w:caps w:val="0"/>
          <w:color w:val="191919"/>
          <w:spacing w:val="0"/>
          <w:sz w:val="28"/>
          <w:szCs w:val="28"/>
          <w:shd w:val="clear" w:color="auto" w:fill="FFFFFF"/>
          <w:lang w:val="en-US" w:eastAsia="zh-CN"/>
        </w:rPr>
        <w:t>将</w:t>
      </w:r>
      <w:r>
        <w:rPr>
          <w:rFonts w:hint="default" w:ascii="仿宋_GB2312" w:hAnsi="仿宋_GB2312" w:eastAsia="仿宋_GB2312" w:cs="仿宋_GB2312"/>
          <w:i w:val="0"/>
          <w:caps w:val="0"/>
          <w:color w:val="191919"/>
          <w:spacing w:val="0"/>
          <w:sz w:val="28"/>
          <w:szCs w:val="28"/>
          <w:shd w:val="clear" w:color="auto" w:fill="FFFFFF"/>
        </w:rPr>
        <w:t>1类、2类区内存在学校、医疗、行政办公</w:t>
      </w:r>
      <w:r>
        <w:rPr>
          <w:rFonts w:hint="default" w:ascii="仿宋_GB2312" w:hAnsi="仿宋_GB2312" w:eastAsia="仿宋_GB2312" w:cs="仿宋_GB2312"/>
          <w:i w:val="0"/>
          <w:caps w:val="0"/>
          <w:color w:val="191919"/>
          <w:spacing w:val="0"/>
          <w:sz w:val="28"/>
          <w:szCs w:val="28"/>
          <w:shd w:val="clear" w:color="auto" w:fill="FFFFFF"/>
          <w:lang w:val="en-US" w:eastAsia="zh-CN"/>
        </w:rPr>
        <w:t>的区域作为重点，在其周边的</w:t>
      </w:r>
      <w:r>
        <w:rPr>
          <w:rFonts w:hint="default" w:ascii="仿宋_GB2312" w:hAnsi="仿宋_GB2312" w:eastAsia="仿宋_GB2312" w:cs="仿宋_GB2312"/>
          <w:i w:val="0"/>
          <w:caps w:val="0"/>
          <w:color w:val="191919"/>
          <w:spacing w:val="0"/>
          <w:sz w:val="28"/>
          <w:szCs w:val="28"/>
          <w:shd w:val="clear" w:color="auto" w:fill="FFFFFF"/>
        </w:rPr>
        <w:t>4类区内设置禁鸣区，禁止行驶的机动车辆鸣喇叭；设置禁行区，限制大型、重型车辆通过。</w:t>
      </w:r>
      <w:r>
        <w:rPr>
          <w:rFonts w:hint="default" w:ascii="仿宋_GB2312" w:hAnsi="仿宋_GB2312" w:eastAsia="仿宋_GB2312" w:cs="仿宋_GB2312"/>
          <w:i w:val="0"/>
          <w:caps w:val="0"/>
          <w:color w:val="191919"/>
          <w:spacing w:val="0"/>
          <w:sz w:val="28"/>
          <w:szCs w:val="28"/>
          <w:shd w:val="clear" w:color="auto" w:fill="FFFFFF"/>
          <w:lang w:val="en-US" w:eastAsia="zh-CN"/>
        </w:rPr>
        <w:t>（县公安局交警大队牵头）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6</w:t>
      </w:r>
      <w:r>
        <w:rPr>
          <w:rFonts w:hint="default" w:ascii="仿宋_GB2312" w:hAnsi="仿宋_GB2312" w:eastAsia="仿宋_GB2312" w:cs="仿宋_GB2312"/>
          <w:i w:val="0"/>
          <w:caps w:val="0"/>
          <w:color w:val="191919"/>
          <w:spacing w:val="0"/>
          <w:sz w:val="28"/>
          <w:szCs w:val="28"/>
          <w:shd w:val="clear" w:color="auto" w:fill="FFFFFF"/>
        </w:rPr>
        <w:t>）本方案未划定的乡村仍按《声环境质量标准》（GB3096—2008）执行。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i w:val="0"/>
          <w:caps w:val="0"/>
          <w:color w:val="191919"/>
          <w:spacing w:val="0"/>
          <w:sz w:val="28"/>
          <w:szCs w:val="28"/>
          <w:shd w:val="clear" w:color="auto" w:fill="FFFFFF"/>
          <w:lang w:eastAsia="zh-CN"/>
        </w:rPr>
      </w:pPr>
      <w:r>
        <w:rPr>
          <w:rFonts w:hint="default" w:ascii="仿宋_GB2312" w:hAnsi="仿宋_GB2312" w:eastAsia="仿宋_GB2312" w:cs="仿宋_GB2312"/>
          <w:i w:val="0"/>
          <w:caps w:val="0"/>
          <w:color w:val="191919"/>
          <w:spacing w:val="0"/>
          <w:sz w:val="28"/>
          <w:szCs w:val="28"/>
          <w:shd w:val="clear" w:color="auto" w:fill="FFFFFF"/>
        </w:rPr>
        <w:t>（</w:t>
      </w:r>
      <w:r>
        <w:rPr>
          <w:rFonts w:hint="default" w:ascii="仿宋_GB2312" w:hAnsi="仿宋_GB2312" w:eastAsia="仿宋_GB2312" w:cs="仿宋_GB2312"/>
          <w:i w:val="0"/>
          <w:caps w:val="0"/>
          <w:color w:val="191919"/>
          <w:spacing w:val="0"/>
          <w:sz w:val="28"/>
          <w:szCs w:val="28"/>
          <w:shd w:val="clear" w:color="auto" w:fill="FFFFFF"/>
          <w:lang w:val="en-US" w:eastAsia="zh-CN"/>
        </w:rPr>
        <w:t>7</w:t>
      </w:r>
      <w:r>
        <w:rPr>
          <w:rFonts w:hint="default" w:ascii="仿宋_GB2312" w:hAnsi="仿宋_GB2312" w:eastAsia="仿宋_GB2312" w:cs="仿宋_GB2312"/>
          <w:i w:val="0"/>
          <w:caps w:val="0"/>
          <w:color w:val="191919"/>
          <w:spacing w:val="0"/>
          <w:sz w:val="28"/>
          <w:szCs w:val="28"/>
          <w:shd w:val="clear" w:color="auto" w:fill="FFFFFF"/>
        </w:rPr>
        <w:t>）本方案由</w:t>
      </w:r>
      <w:r>
        <w:rPr>
          <w:rFonts w:hint="default" w:ascii="仿宋_GB2312" w:hAnsi="仿宋_GB2312" w:eastAsia="仿宋_GB2312" w:cs="仿宋_GB2312"/>
          <w:i w:val="0"/>
          <w:caps w:val="0"/>
          <w:color w:val="191919"/>
          <w:spacing w:val="0"/>
          <w:sz w:val="28"/>
          <w:szCs w:val="28"/>
          <w:shd w:val="clear" w:color="auto" w:fill="FFFFFF"/>
          <w:lang w:eastAsia="zh-CN"/>
        </w:rPr>
        <w:t>县</w:t>
      </w:r>
      <w:r>
        <w:rPr>
          <w:rFonts w:hint="default" w:ascii="仿宋_GB2312" w:hAnsi="仿宋_GB2312" w:eastAsia="仿宋_GB2312" w:cs="仿宋_GB2312"/>
          <w:i w:val="0"/>
          <w:caps w:val="0"/>
          <w:color w:val="191919"/>
          <w:spacing w:val="0"/>
          <w:sz w:val="28"/>
          <w:szCs w:val="28"/>
          <w:shd w:val="clear" w:color="auto" w:fill="FFFFFF"/>
        </w:rPr>
        <w:t>人民政府批准实施，原则上5年调整一次；确因城市建设和重大规划实施调整，可申请方案修编并按原程序报批</w:t>
      </w:r>
      <w:r>
        <w:rPr>
          <w:rFonts w:hint="default" w:ascii="仿宋_GB2312" w:hAnsi="仿宋_GB2312" w:eastAsia="仿宋_GB2312" w:cs="仿宋_GB2312"/>
          <w:i w:val="0"/>
          <w:caps w:val="0"/>
          <w:color w:val="191919"/>
          <w:spacing w:val="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i w:val="0"/>
          <w:caps w:val="0"/>
          <w:color w:val="000000"/>
          <w:spacing w:val="0"/>
          <w:sz w:val="28"/>
          <w:szCs w:val="28"/>
          <w:shd w:val="clear" w:color="auto" w:fill="FFFFFF"/>
          <w:lang w:eastAsia="zh-CN"/>
        </w:rPr>
        <w:t>附图</w:t>
      </w:r>
      <w:r>
        <w:rPr>
          <w:rFonts w:hint="eastAsia" w:ascii="仿宋" w:hAnsi="仿宋" w:eastAsia="仿宋" w:cs="仿宋"/>
          <w:i w:val="0"/>
          <w:caps w:val="0"/>
          <w:color w:val="000000"/>
          <w:spacing w:val="0"/>
          <w:sz w:val="28"/>
          <w:szCs w:val="28"/>
          <w:shd w:val="clear" w:color="auto" w:fill="FFFFFF"/>
          <w:lang w:val="en-US" w:eastAsia="zh-CN"/>
        </w:rPr>
        <w:t>1</w:t>
      </w:r>
      <w:r>
        <w:rPr>
          <w:rFonts w:hint="eastAsia" w:ascii="仿宋" w:hAnsi="仿宋" w:eastAsia="仿宋" w:cs="仿宋"/>
          <w:i w:val="0"/>
          <w:caps w:val="0"/>
          <w:color w:val="000000"/>
          <w:spacing w:val="0"/>
          <w:sz w:val="28"/>
          <w:szCs w:val="28"/>
          <w:shd w:val="clear" w:color="auto" w:fill="FFFFFF"/>
          <w:lang w:eastAsia="zh-CN"/>
        </w:rPr>
        <w:t>：神池县城市</w:t>
      </w:r>
      <w:r>
        <w:rPr>
          <w:rFonts w:hint="eastAsia" w:ascii="仿宋" w:hAnsi="仿宋" w:eastAsia="仿宋" w:cs="仿宋"/>
          <w:i w:val="0"/>
          <w:caps w:val="0"/>
          <w:color w:val="000000"/>
          <w:spacing w:val="0"/>
          <w:sz w:val="28"/>
          <w:szCs w:val="28"/>
          <w:shd w:val="clear" w:color="auto" w:fill="FFFFFF"/>
          <w:lang w:val="en-US" w:eastAsia="zh-CN"/>
        </w:rPr>
        <w:t>区域及交通声功能区</w:t>
      </w:r>
      <w:r>
        <w:rPr>
          <w:rFonts w:hint="eastAsia" w:ascii="仿宋" w:hAnsi="仿宋" w:eastAsia="仿宋" w:cs="仿宋"/>
          <w:i w:val="0"/>
          <w:caps w:val="0"/>
          <w:color w:val="000000"/>
          <w:spacing w:val="0"/>
          <w:sz w:val="28"/>
          <w:szCs w:val="28"/>
          <w:shd w:val="clear" w:color="auto" w:fill="FFFFFF"/>
          <w:lang w:eastAsia="zh-CN"/>
        </w:rPr>
        <w:t>划分结果图。</w:t>
      </w:r>
    </w:p>
    <w:p>
      <w:pPr>
        <w:pStyle w:val="2"/>
        <w:rPr>
          <w:rFonts w:hint="eastAsia"/>
          <w:lang w:val="en-US" w:eastAsia="zh-CN"/>
        </w:rPr>
        <w:sectPr>
          <w:footerReference r:id="rId3" w:type="default"/>
          <w:pgSz w:w="11906" w:h="16838"/>
          <w:pgMar w:top="1417" w:right="1417" w:bottom="1417" w:left="1417" w:header="851" w:footer="992" w:gutter="0"/>
          <w:pgNumType w:fmt="decimal" w:start="1"/>
          <w:cols w:space="720" w:num="1"/>
          <w:docGrid w:type="lines" w:linePitch="312" w:charSpace="0"/>
        </w:sectPr>
      </w:pPr>
    </w:p>
    <w:p>
      <w:pPr>
        <w:spacing w:line="240" w:lineRule="auto"/>
        <w:ind w:firstLine="0" w:firstLineChars="0"/>
        <w:jc w:val="both"/>
        <w:rPr>
          <w:rFonts w:hint="eastAsia" w:ascii="仿宋_GB2312" w:hAnsi="仿宋_GB2312" w:eastAsia="仿宋_GB2312" w:cs="仿宋_GB2312"/>
          <w:b/>
          <w:bCs/>
          <w:color w:val="auto"/>
          <w:sz w:val="24"/>
          <w:szCs w:val="24"/>
          <w:highlight w:val="none"/>
          <w:lang w:eastAsia="zh-CN"/>
        </w:rPr>
      </w:pPr>
      <w:r>
        <w:rPr>
          <w:rFonts w:hint="default" w:ascii="Times New Roman" w:hAnsi="Times New Roman" w:cs="Times New Roman"/>
          <w:sz w:val="24"/>
        </w:rPr>
        <w:drawing>
          <wp:inline distT="0" distB="0" distL="114300" distR="114300">
            <wp:extent cx="9250045" cy="5930900"/>
            <wp:effectExtent l="0" t="0" r="8255" b="12700"/>
            <wp:docPr id="1" name="图片 1" descr="调整及划分结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调整及划分结果图"/>
                    <pic:cNvPicPr>
                      <a:picLocks noChangeAspect="1"/>
                    </pic:cNvPicPr>
                  </pic:nvPicPr>
                  <pic:blipFill>
                    <a:blip r:embed="rId5"/>
                    <a:stretch>
                      <a:fillRect/>
                    </a:stretch>
                  </pic:blipFill>
                  <pic:spPr>
                    <a:xfrm>
                      <a:off x="0" y="0"/>
                      <a:ext cx="9250045" cy="5930900"/>
                    </a:xfrm>
                    <a:prstGeom prst="rect">
                      <a:avLst/>
                    </a:prstGeom>
                    <a:noFill/>
                    <a:ln>
                      <a:noFill/>
                    </a:ln>
                  </pic:spPr>
                </pic:pic>
              </a:graphicData>
            </a:graphic>
          </wp:inline>
        </w:drawing>
      </w:r>
    </w:p>
    <w:p>
      <w:pPr>
        <w:spacing w:line="240" w:lineRule="auto"/>
        <w:ind w:firstLine="0" w:firstLineChars="0"/>
        <w:jc w:val="both"/>
        <w:rPr>
          <w:rFonts w:hint="eastAsia" w:ascii="仿宋_GB2312" w:hAnsi="仿宋_GB2312" w:eastAsia="仿宋_GB2312" w:cs="仿宋_GB2312"/>
          <w:b/>
          <w:bCs/>
          <w:color w:val="auto"/>
          <w:sz w:val="24"/>
          <w:szCs w:val="24"/>
          <w:highlight w:val="none"/>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-8783955</wp:posOffset>
                </wp:positionH>
                <wp:positionV relativeFrom="paragraph">
                  <wp:posOffset>59055</wp:posOffset>
                </wp:positionV>
                <wp:extent cx="3987800" cy="403860"/>
                <wp:effectExtent l="5080" t="4445" r="7620" b="10795"/>
                <wp:wrapNone/>
                <wp:docPr id="21" name="文本框 2"/>
                <wp:cNvGraphicFramePr/>
                <a:graphic xmlns:a="http://schemas.openxmlformats.org/drawingml/2006/main">
                  <a:graphicData uri="http://schemas.microsoft.com/office/word/2010/wordprocessingShape">
                    <wps:wsp>
                      <wps:cNvSpPr txBox="1"/>
                      <wps:spPr>
                        <a:xfrm>
                          <a:off x="0" y="0"/>
                          <a:ext cx="3987800" cy="403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sz w:val="28"/>
                                <w:szCs w:val="28"/>
                              </w:rPr>
                            </w:pPr>
                            <w:r>
                              <w:rPr>
                                <w:rFonts w:hint="eastAsia" w:ascii="仿宋_GB2312" w:hAnsi="仿宋_GB2312" w:eastAsia="仿宋_GB2312" w:cs="仿宋_GB2312"/>
                                <w:b/>
                                <w:bCs/>
                                <w:color w:val="auto"/>
                                <w:sz w:val="28"/>
                                <w:szCs w:val="28"/>
                                <w:highlight w:val="none"/>
                                <w:lang w:eastAsia="zh-CN"/>
                              </w:rPr>
                              <w:t>附图</w:t>
                            </w:r>
                            <w:r>
                              <w:rPr>
                                <w:rFonts w:hint="eastAsia" w:ascii="仿宋_GB2312" w:hAnsi="仿宋_GB2312" w:eastAsia="仿宋_GB2312" w:cs="仿宋_GB2312"/>
                                <w:b/>
                                <w:bCs/>
                                <w:color w:val="auto"/>
                                <w:sz w:val="28"/>
                                <w:szCs w:val="28"/>
                                <w:highlight w:val="none"/>
                                <w:lang w:val="en-US" w:eastAsia="zh-CN"/>
                              </w:rPr>
                              <w:t>1神池县城市区域及交通声功能区划分结果图</w:t>
                            </w:r>
                          </w:p>
                        </w:txbxContent>
                      </wps:txbx>
                      <wps:bodyPr upright="1"/>
                    </wps:wsp>
                  </a:graphicData>
                </a:graphic>
              </wp:anchor>
            </w:drawing>
          </mc:Choice>
          <mc:Fallback>
            <w:pict>
              <v:shape id="文本框 2" o:spid="_x0000_s1026" o:spt="202" type="#_x0000_t202" style="position:absolute;left:0pt;margin-left:-691.65pt;margin-top:4.65pt;height:31.8pt;width:314pt;z-index:251659264;mso-width-relative:page;mso-height-relative:page;" fillcolor="#FFFFFF" filled="t" stroked="t" coordsize="21600,21600" o:gfxdata="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kLr1naAAAACwEAAA8AAAAAAAAA&#10;AQAgAAAAIgAAAGRycy9kb3ducmV2LnhtbFBLAQIUABQAAAAIAIdO4kDS4yUaDwIAADcEAAAOAAAA&#10;AAAAAAEAIAAAACkBAABkcnMvZTJvRG9jLnhtbFBLBQYAAAAABgAGAFkBAACqBQAAAAA=&#10;">
                <v:fill on="t" focussize="0,0"/>
                <v:stroke color="#000000" joinstyle="miter"/>
                <v:imagedata o:title=""/>
                <o:lock v:ext="edit" aspectratio="f"/>
                <v:textbox>
                  <w:txbxContent>
                    <w:p>
                      <w:pPr>
                        <w:rPr>
                          <w:b/>
                          <w:bCs/>
                          <w:sz w:val="28"/>
                          <w:szCs w:val="28"/>
                        </w:rPr>
                      </w:pPr>
                      <w:r>
                        <w:rPr>
                          <w:rFonts w:hint="eastAsia" w:ascii="仿宋_GB2312" w:hAnsi="仿宋_GB2312" w:eastAsia="仿宋_GB2312" w:cs="仿宋_GB2312"/>
                          <w:b/>
                          <w:bCs/>
                          <w:color w:val="auto"/>
                          <w:sz w:val="28"/>
                          <w:szCs w:val="28"/>
                          <w:highlight w:val="none"/>
                          <w:lang w:eastAsia="zh-CN"/>
                        </w:rPr>
                        <w:t>附图</w:t>
                      </w:r>
                      <w:r>
                        <w:rPr>
                          <w:rFonts w:hint="eastAsia" w:ascii="仿宋_GB2312" w:hAnsi="仿宋_GB2312" w:eastAsia="仿宋_GB2312" w:cs="仿宋_GB2312"/>
                          <w:b/>
                          <w:bCs/>
                          <w:color w:val="auto"/>
                          <w:sz w:val="28"/>
                          <w:szCs w:val="28"/>
                          <w:highlight w:val="none"/>
                          <w:lang w:val="en-US" w:eastAsia="zh-CN"/>
                        </w:rPr>
                        <w:t>1神池县城市区域及交通声功能区划分结果图</w:t>
                      </w:r>
                    </w:p>
                  </w:txbxContent>
                </v:textbox>
              </v:shape>
            </w:pict>
          </mc:Fallback>
        </mc:AlternateContent>
      </w:r>
    </w:p>
    <w:p>
      <w:pPr>
        <w:spacing w:line="240" w:lineRule="auto"/>
        <w:ind w:firstLine="0" w:firstLineChars="0"/>
        <w:jc w:val="both"/>
        <w:rPr>
          <w:rFonts w:hint="eastAsia" w:ascii="仿宋_GB2312" w:hAnsi="仿宋_GB2312" w:eastAsia="仿宋_GB2312" w:cs="仿宋_GB2312"/>
          <w:b/>
          <w:bCs/>
          <w:color w:val="auto"/>
          <w:sz w:val="24"/>
          <w:szCs w:val="24"/>
          <w:highlight w:val="none"/>
          <w:lang w:val="en-US" w:eastAsia="zh-CN"/>
        </w:rPr>
        <w:sectPr>
          <w:pgSz w:w="16838" w:h="11906" w:orient="landscape"/>
          <w:pgMar w:top="1020" w:right="1020" w:bottom="1134" w:left="1020" w:header="680" w:footer="680" w:gutter="0"/>
          <w:pgNumType w:fmt="decimal"/>
          <w:cols w:space="720" w:num="1"/>
          <w:rtlGutter w:val="0"/>
          <w:docGrid w:type="lines" w:linePitch="312" w:charSpace="0"/>
        </w:sectPr>
      </w:pP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3123565</wp:posOffset>
                </wp:positionH>
                <wp:positionV relativeFrom="paragraph">
                  <wp:posOffset>-171450</wp:posOffset>
                </wp:positionV>
                <wp:extent cx="3314700" cy="322580"/>
                <wp:effectExtent l="0" t="0" r="0" b="0"/>
                <wp:wrapNone/>
                <wp:docPr id="22" name="文本框 4"/>
                <wp:cNvGraphicFramePr/>
                <a:graphic xmlns:a="http://schemas.openxmlformats.org/drawingml/2006/main">
                  <a:graphicData uri="http://schemas.microsoft.com/office/word/2010/wordprocessingShape">
                    <wps:wsp>
                      <wps:cNvSpPr txBox="1"/>
                      <wps:spPr>
                        <a:xfrm>
                          <a:off x="0" y="0"/>
                          <a:ext cx="3314700" cy="322580"/>
                        </a:xfrm>
                        <a:prstGeom prst="rect">
                          <a:avLst/>
                        </a:prstGeom>
                        <a:noFill/>
                        <a:ln>
                          <a:noFill/>
                        </a:ln>
                      </wps:spPr>
                      <wps:txbx>
                        <w:txbxContent>
                          <w:p>
                            <w:pPr>
                              <w:spacing w:line="240" w:lineRule="auto"/>
                              <w:ind w:left="0" w:leftChars="0" w:firstLine="0" w:firstLineChars="0"/>
                              <w:rPr>
                                <w:rFonts w:hint="eastAsia" w:ascii="宋体" w:hAnsi="宋体" w:eastAsia="宋体" w:cs="宋体"/>
                                <w:b/>
                                <w:bCs/>
                                <w:sz w:val="24"/>
                                <w:szCs w:val="24"/>
                                <w:highlight w:val="none"/>
                                <w:shd w:val="clear" w:color="auto" w:fill="auto"/>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cs="仿宋"/>
                                <w:b/>
                                <w:bCs/>
                                <w:color w:val="000000" w:themeColor="text1"/>
                                <w:sz w:val="24"/>
                                <w:szCs w:val="24"/>
                                <w:highlight w:val="none"/>
                                <w:shd w:val="clear" w:color="auto" w:fill="auto"/>
                                <w:lang w:eastAsia="zh-CN"/>
                                <w14:shadow w14:blurRad="50800" w14:dist="38100" w14:dir="2700000" w14:sx="100000" w14:sy="100000" w14:kx="0" w14:ky="0" w14:algn="tl">
                                  <w14:srgbClr w14:val="000000">
                                    <w14:alpha w14:val="60000"/>
                                  </w14:srgbClr>
                                </w14:shadow>
                                <w14:textFill>
                                  <w14:solidFill>
                                    <w14:schemeClr w14:val="tx1"/>
                                  </w14:solidFill>
                                </w14:textFill>
                              </w:rPr>
                              <w:t>附图</w:t>
                            </w:r>
                            <w:r>
                              <w:rPr>
                                <w:rFonts w:hint="eastAsia" w:ascii="仿宋" w:hAnsi="仿宋" w:eastAsia="仿宋" w:cs="仿宋"/>
                                <w:b/>
                                <w:bCs/>
                                <w:color w:val="000000" w:themeColor="text1"/>
                                <w:sz w:val="24"/>
                                <w:szCs w:val="24"/>
                                <w:highlight w:val="none"/>
                                <w:shd w:val="clear" w:color="auto" w:fill="auto"/>
                                <w:lang w:val="en-US" w:eastAsia="zh-CN"/>
                                <w14:shadow w14:blurRad="50800" w14:dist="38100" w14:dir="2700000" w14:sx="100000" w14:sy="100000" w14:kx="0" w14:ky="0" w14:algn="tl">
                                  <w14:srgbClr w14:val="000000">
                                    <w14:alpha w14:val="60000"/>
                                  </w14:srgbClr>
                                </w14:shadow>
                                <w14:textFill>
                                  <w14:solidFill>
                                    <w14:schemeClr w14:val="tx1"/>
                                  </w14:solidFill>
                                </w14:textFill>
                              </w:rPr>
                              <w:t>1 区域及道路声功能区调整及划分结果图</w:t>
                            </w:r>
                          </w:p>
                        </w:txbxContent>
                      </wps:txbx>
                      <wps:bodyPr lIns="91440" tIns="0" rIns="91440" bIns="0" upright="1"/>
                    </wps:wsp>
                  </a:graphicData>
                </a:graphic>
              </wp:anchor>
            </w:drawing>
          </mc:Choice>
          <mc:Fallback>
            <w:pict>
              <v:shape id="文本框 4" o:spid="_x0000_s1026" o:spt="202" type="#_x0000_t202" style="position:absolute;left:0pt;margin-left:245.95pt;margin-top:-13.5pt;height:25.4pt;width:261pt;z-index:251660288;mso-width-relative:page;mso-height-relative:page;" filled="f" stroked="f" coordsize="21600,21600" o:gfxdata="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biUdjYAAAACwEAAA8AAAAAAAAAAQAgAAAAIgAAAGRycy9kb3ducmV2Lnht&#10;bFBLAQIUABQAAAAIAIdO4kDsuCjcwAEAAHsDAAAOAAAAAAAAAAEAIAAAACcBAABkcnMvZTJvRG9j&#10;LnhtbFBLBQYAAAAABgAGAFkBAABZBQAAAAA=&#10;">
                <v:fill on="f" focussize="0,0"/>
                <v:stroke on="f"/>
                <v:imagedata o:title=""/>
                <o:lock v:ext="edit" aspectratio="f"/>
                <v:textbox inset="2.54mm,0mm,2.54mm,0mm">
                  <w:txbxContent>
                    <w:p>
                      <w:pPr>
                        <w:spacing w:line="240" w:lineRule="auto"/>
                        <w:ind w:left="0" w:leftChars="0" w:firstLine="0" w:firstLineChars="0"/>
                        <w:rPr>
                          <w:rFonts w:hint="eastAsia" w:ascii="宋体" w:hAnsi="宋体" w:eastAsia="宋体" w:cs="宋体"/>
                          <w:b/>
                          <w:bCs/>
                          <w:sz w:val="24"/>
                          <w:szCs w:val="24"/>
                          <w:highlight w:val="none"/>
                          <w:shd w:val="clear" w:color="auto" w:fill="auto"/>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cs="仿宋"/>
                          <w:b/>
                          <w:bCs/>
                          <w:color w:val="000000" w:themeColor="text1"/>
                          <w:sz w:val="24"/>
                          <w:szCs w:val="24"/>
                          <w:highlight w:val="none"/>
                          <w:shd w:val="clear" w:color="auto" w:fill="auto"/>
                          <w:lang w:eastAsia="zh-CN"/>
                          <w14:shadow w14:blurRad="50800" w14:dist="38100" w14:dir="2700000" w14:sx="100000" w14:sy="100000" w14:kx="0" w14:ky="0" w14:algn="tl">
                            <w14:srgbClr w14:val="000000">
                              <w14:alpha w14:val="60000"/>
                            </w14:srgbClr>
                          </w14:shadow>
                          <w14:textFill>
                            <w14:solidFill>
                              <w14:schemeClr w14:val="tx1"/>
                            </w14:solidFill>
                          </w14:textFill>
                        </w:rPr>
                        <w:t>附图</w:t>
                      </w:r>
                      <w:r>
                        <w:rPr>
                          <w:rFonts w:hint="eastAsia" w:ascii="仿宋" w:hAnsi="仿宋" w:eastAsia="仿宋" w:cs="仿宋"/>
                          <w:b/>
                          <w:bCs/>
                          <w:color w:val="000000" w:themeColor="text1"/>
                          <w:sz w:val="24"/>
                          <w:szCs w:val="24"/>
                          <w:highlight w:val="none"/>
                          <w:shd w:val="clear" w:color="auto" w:fill="auto"/>
                          <w:lang w:val="en-US" w:eastAsia="zh-CN"/>
                          <w14:shadow w14:blurRad="50800" w14:dist="38100" w14:dir="2700000" w14:sx="100000" w14:sy="100000" w14:kx="0" w14:ky="0" w14:algn="tl">
                            <w14:srgbClr w14:val="000000">
                              <w14:alpha w14:val="60000"/>
                            </w14:srgbClr>
                          </w14:shadow>
                          <w14:textFill>
                            <w14:solidFill>
                              <w14:schemeClr w14:val="tx1"/>
                            </w14:solidFill>
                          </w14:textFill>
                        </w:rPr>
                        <w:t>1 区域及道路声功能区调整及划分结果图</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AEA26"/>
    <w:multiLevelType w:val="singleLevel"/>
    <w:tmpl w:val="219AEA26"/>
    <w:lvl w:ilvl="0" w:tentative="0">
      <w:start w:val="3"/>
      <w:numFmt w:val="decimal"/>
      <w:suff w:val="nothing"/>
      <w:lvlText w:val="%1、"/>
      <w:lvlJc w:val="left"/>
    </w:lvl>
  </w:abstractNum>
  <w:abstractNum w:abstractNumId="1">
    <w:nsid w:val="357D120C"/>
    <w:multiLevelType w:val="singleLevel"/>
    <w:tmpl w:val="357D120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E11A7"/>
    <w:rsid w:val="306E11A7"/>
    <w:rsid w:val="36D94575"/>
    <w:rsid w:val="481D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我的标题1"/>
    <w:basedOn w:val="3"/>
    <w:qFormat/>
    <w:uiPriority w:val="0"/>
    <w:pPr>
      <w:spacing w:before="120" w:after="120" w:line="460" w:lineRule="exact"/>
    </w:pPr>
    <w:rPr>
      <w:rFonts w:ascii="Times New Roman" w:hAnsi="Times New Roman" w:eastAsia="黑体" w:cs="Times New Roman"/>
      <w:b w:val="0"/>
      <w:bCs w:val="0"/>
      <w:sz w:val="32"/>
    </w:rPr>
  </w:style>
  <w:style w:type="paragraph" w:customStyle="1" w:styleId="10">
    <w:name w:val="我的标题2"/>
    <w:basedOn w:val="4"/>
    <w:qFormat/>
    <w:uiPriority w:val="0"/>
    <w:pPr>
      <w:spacing w:before="60" w:after="60" w:line="460" w:lineRule="exact"/>
    </w:pPr>
    <w:rPr>
      <w:rFonts w:ascii="Times New Roman" w:hAnsi="Times New Roman" w:eastAsia="黑体" w:cs="Times New Roman"/>
      <w:b w:val="0"/>
      <w:sz w:val="30"/>
    </w:rPr>
  </w:style>
  <w:style w:type="paragraph" w:customStyle="1" w:styleId="11">
    <w:name w:val="我的正文"/>
    <w:basedOn w:val="1"/>
    <w:qFormat/>
    <w:uiPriority w:val="0"/>
    <w:pPr>
      <w:spacing w:line="460" w:lineRule="exact"/>
      <w:ind w:firstLine="482"/>
    </w:pPr>
    <w:rPr>
      <w:rFonts w:eastAsia="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2021-09-02T03:25:00Z</dcterms:created>
  <dc:creator>lenovo</dc:creator>
  <cp:lastModifiedBy>lenovo</cp:lastModifiedBy>
  <dcterms:modified xsi:type="dcterms:W3CDTF">2021-09-02T03:34:57Z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082007B2D80440C48D150A11D64B0C36</vt:lpwstr>
  </property>
</Properties>
</file>